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64" w:rsidRDefault="00D41A64" w:rsidP="00200681">
      <w:pPr>
        <w:pStyle w:val="Title"/>
        <w:tabs>
          <w:tab w:val="left" w:pos="7380"/>
        </w:tabs>
      </w:pPr>
      <w:bookmarkStart w:id="0" w:name="_GoBack"/>
      <w:bookmarkEnd w:id="0"/>
      <w:r>
        <w:t>Why Johnny Can’t Read Russell</w:t>
      </w:r>
    </w:p>
    <w:p w:rsidR="00D904B0" w:rsidRDefault="00D904B0" w:rsidP="00D904B0"/>
    <w:p w:rsidR="00D904B0" w:rsidRPr="00D904B0" w:rsidRDefault="00D904B0" w:rsidP="00D904B0">
      <w:r>
        <w:t>(Paper to be presented at the Bertrand Russell Society Annual Meeting, June 2-4, 2017)</w:t>
      </w:r>
    </w:p>
    <w:p w:rsidR="00302F95" w:rsidRDefault="00302F95" w:rsidP="00302F95">
      <w:pPr>
        <w:pStyle w:val="Heading1"/>
      </w:pPr>
      <w:r>
        <w:t>Abstract</w:t>
      </w:r>
    </w:p>
    <w:p w:rsidR="00302F95" w:rsidRDefault="00302F95">
      <w:r>
        <w:t xml:space="preserve">Millions of </w:t>
      </w:r>
      <w:r w:rsidR="00C20053">
        <w:t xml:space="preserve">adults </w:t>
      </w:r>
      <w:r>
        <w:t xml:space="preserve">who grew up in the United States cannot read well enough to read even the </w:t>
      </w:r>
      <w:r w:rsidR="00C90E32">
        <w:t xml:space="preserve">books </w:t>
      </w:r>
      <w:r>
        <w:t xml:space="preserve">that Russell wrote for a lay audience. This problem is </w:t>
      </w:r>
      <w:r w:rsidR="00C20053">
        <w:t xml:space="preserve">due in part to </w:t>
      </w:r>
      <w:r>
        <w:t xml:space="preserve">the legacy of John Dewey. Dewey </w:t>
      </w:r>
      <w:r w:rsidR="00C20053">
        <w:t xml:space="preserve">discouraged teachers from using an effective method of teaching </w:t>
      </w:r>
      <w:r>
        <w:t xml:space="preserve">reading. He also discouraged teachers from providing direct instruction in </w:t>
      </w:r>
      <w:r w:rsidR="00C20053">
        <w:t xml:space="preserve">other kinds of </w:t>
      </w:r>
      <w:r>
        <w:t xml:space="preserve">foundational knowledge and skills, such as grammar lessons. So even though Americans generally spend up to 13 years in public school, millions have never learned to read, and millions more have not learned to parse and reason. This deprivation of fundamental knowledge and skills has been described as academic child abuse. </w:t>
      </w:r>
      <w:r w:rsidR="00C90E32">
        <w:t xml:space="preserve">The effects of this deprivation can be seen even in graduate schools. </w:t>
      </w:r>
      <w:r>
        <w:t xml:space="preserve">To be effective as a teacher, you may have to provide remedial education before you begin teaching the material that you had intended to teach. For a social movement to be effective, it must likewise provide the basic education that people should have learned in school. </w:t>
      </w:r>
    </w:p>
    <w:p w:rsidR="00302F95" w:rsidRDefault="00302F95"/>
    <w:p w:rsidR="00302F95" w:rsidRDefault="009B27C9" w:rsidP="009B27C9">
      <w:pPr>
        <w:pStyle w:val="Heading1"/>
      </w:pPr>
      <w:r>
        <w:t>Introduction</w:t>
      </w:r>
    </w:p>
    <w:p w:rsidR="002B45A4" w:rsidRDefault="0060700D">
      <w:r>
        <w:t>Bertrand Russell was many things</w:t>
      </w:r>
      <w:r w:rsidR="00200681">
        <w:t xml:space="preserve">, including </w:t>
      </w:r>
      <w:r>
        <w:t xml:space="preserve">a mathematician, a linguist, a philosopher, a social activist, and an educator. He was also a </w:t>
      </w:r>
      <w:r w:rsidR="00A2383D">
        <w:t xml:space="preserve">great writer, as evidenced by </w:t>
      </w:r>
      <w:r w:rsidR="00066B91">
        <w:t>his</w:t>
      </w:r>
      <w:r w:rsidR="00A2383D">
        <w:t xml:space="preserve"> Nobel Prize for Literature. Today, our airwaves and the Internet are filled with the pontifications of </w:t>
      </w:r>
      <w:r w:rsidR="00224DFA">
        <w:t xml:space="preserve">ignorant </w:t>
      </w:r>
      <w:r w:rsidR="00A2383D">
        <w:t xml:space="preserve">pundits. Russell, in contrast, was a true public intellectual: someone who has made significant contributions to science or scholarship </w:t>
      </w:r>
      <w:r w:rsidR="00464FF9">
        <w:t>and</w:t>
      </w:r>
      <w:r w:rsidR="00A2383D">
        <w:t xml:space="preserve"> also </w:t>
      </w:r>
      <w:r w:rsidR="00464FF9">
        <w:t xml:space="preserve">works to </w:t>
      </w:r>
      <w:r w:rsidR="00334F05">
        <w:t xml:space="preserve">improve society </w:t>
      </w:r>
      <w:r w:rsidR="00A2383D">
        <w:t xml:space="preserve">by </w:t>
      </w:r>
      <w:r w:rsidR="00353B71">
        <w:t xml:space="preserve">reaching out to educate </w:t>
      </w:r>
      <w:r w:rsidR="00A2383D">
        <w:t xml:space="preserve">the public. </w:t>
      </w:r>
    </w:p>
    <w:p w:rsidR="00067F90" w:rsidRDefault="00A2383D">
      <w:r>
        <w:t xml:space="preserve">Unfortunately, millions of the adults who grew up in the United States cannot read well enough to read anything that Russell wrote. It is understandable that hardly anyone can understand his and Alfred North Whitehead’s </w:t>
      </w:r>
      <w:r w:rsidRPr="00ED0EFD">
        <w:rPr>
          <w:i/>
        </w:rPr>
        <w:t>Principia Mathematica</w:t>
      </w:r>
      <w:r>
        <w:t xml:space="preserve">. Yet </w:t>
      </w:r>
      <w:r w:rsidR="00353B71">
        <w:t xml:space="preserve">today, </w:t>
      </w:r>
      <w:r>
        <w:t xml:space="preserve">millions of adults who grew up in the United States cannot read well enough to read even the works that Russell wrote for </w:t>
      </w:r>
      <w:r w:rsidR="002562D9">
        <w:t>a lay audience</w:t>
      </w:r>
      <w:r>
        <w:t>.</w:t>
      </w:r>
      <w:r w:rsidR="002B45A4">
        <w:t xml:space="preserve"> </w:t>
      </w:r>
      <w:r w:rsidR="00293025">
        <w:t xml:space="preserve">I suppose that as </w:t>
      </w:r>
      <w:r w:rsidR="002B45A4">
        <w:t xml:space="preserve">members of the Bertrand Russell </w:t>
      </w:r>
      <w:r w:rsidR="005E6702">
        <w:t>S</w:t>
      </w:r>
      <w:r w:rsidR="002B45A4">
        <w:t>ociety</w:t>
      </w:r>
      <w:r w:rsidR="00293025">
        <w:t xml:space="preserve">, </w:t>
      </w:r>
      <w:r w:rsidR="00ED0EFD">
        <w:t xml:space="preserve">each of us tries </w:t>
      </w:r>
      <w:r w:rsidR="002B45A4">
        <w:t xml:space="preserve">to live in imitation of Bertie. </w:t>
      </w:r>
      <w:r w:rsidR="005E6702">
        <w:t xml:space="preserve">Each of us tries to make his or her own </w:t>
      </w:r>
      <w:r w:rsidR="002B45A4">
        <w:t xml:space="preserve">contributions to science or scholarship, and many of us are educators or activists. Yet our work will largely be in vain unless we </w:t>
      </w:r>
      <w:r w:rsidR="00A82EB8">
        <w:t xml:space="preserve">correct the defects of the public schools in the </w:t>
      </w:r>
      <w:r w:rsidR="002B45A4">
        <w:t xml:space="preserve">richest and most powerful nation on earth. </w:t>
      </w:r>
      <w:r w:rsidR="00A82EB8">
        <w:t xml:space="preserve">To do that, we must </w:t>
      </w:r>
      <w:r w:rsidR="0001414B">
        <w:t xml:space="preserve">strive to </w:t>
      </w:r>
      <w:r w:rsidR="00464FF9">
        <w:t>overcome</w:t>
      </w:r>
      <w:r w:rsidR="0001414B">
        <w:t xml:space="preserve"> some of the </w:t>
      </w:r>
      <w:r w:rsidR="00A82EB8">
        <w:t>legacy of John Dewey.</w:t>
      </w:r>
    </w:p>
    <w:p w:rsidR="009C6561" w:rsidRDefault="009F3CD8" w:rsidP="009C6561">
      <w:pPr>
        <w:pStyle w:val="Heading1"/>
      </w:pPr>
      <w:r>
        <w:t>Literacy and Freedom</w:t>
      </w:r>
    </w:p>
    <w:p w:rsidR="00580525" w:rsidRDefault="00F97BD0">
      <w:r>
        <w:t>To understand educational policy in the United States,</w:t>
      </w:r>
      <w:r w:rsidR="00A82EB8">
        <w:t xml:space="preserve"> and </w:t>
      </w:r>
      <w:r w:rsidR="00ED78FF">
        <w:t>Dewey’s role in shaping it</w:t>
      </w:r>
      <w:r w:rsidR="00A82EB8">
        <w:t>,</w:t>
      </w:r>
      <w:r>
        <w:t xml:space="preserve"> you need to </w:t>
      </w:r>
      <w:r w:rsidR="00ED78FF">
        <w:t xml:space="preserve">know some </w:t>
      </w:r>
      <w:r>
        <w:t xml:space="preserve">history. </w:t>
      </w:r>
      <w:r w:rsidR="00A82EB8">
        <w:t>As William Faulkner put it, “The past is never dead. It’s not even past.”</w:t>
      </w:r>
      <w:r w:rsidR="00580525">
        <w:t xml:space="preserve"> </w:t>
      </w:r>
      <w:r>
        <w:t xml:space="preserve">In the </w:t>
      </w:r>
      <w:proofErr w:type="spellStart"/>
      <w:r>
        <w:t>1640s</w:t>
      </w:r>
      <w:proofErr w:type="spellEnd"/>
      <w:r>
        <w:t>, the members of the General Court of the Massachusetts Bay Colony decided that everyone should learn to read</w:t>
      </w:r>
      <w:r w:rsidR="00A82EB8">
        <w:t xml:space="preserve"> well enough to read the Holy Bible and the laws of the </w:t>
      </w:r>
      <w:r w:rsidR="00066B91">
        <w:t>c</w:t>
      </w:r>
      <w:r w:rsidR="00A82EB8">
        <w:t>ommonwealth</w:t>
      </w:r>
      <w:r>
        <w:t xml:space="preserve">. In 1642, </w:t>
      </w:r>
      <w:r w:rsidR="00D51A43">
        <w:t xml:space="preserve">the General Court </w:t>
      </w:r>
      <w:r>
        <w:lastRenderedPageBreak/>
        <w:t xml:space="preserve">passed a law requiring parents </w:t>
      </w:r>
      <w:r w:rsidR="0023249C">
        <w:t xml:space="preserve">(and masters of apprentices) </w:t>
      </w:r>
      <w:r>
        <w:t xml:space="preserve">to make sure that the children </w:t>
      </w:r>
      <w:r w:rsidR="00330E5D">
        <w:t xml:space="preserve">under their care </w:t>
      </w:r>
      <w:r>
        <w:t xml:space="preserve">learned to read. In 1647, </w:t>
      </w:r>
      <w:r w:rsidR="00D51A43">
        <w:t xml:space="preserve">it </w:t>
      </w:r>
      <w:r>
        <w:t xml:space="preserve">passed a law requiring towns to hire schoolteachers to teach the children of the town. </w:t>
      </w:r>
      <w:r w:rsidR="00330E5D">
        <w:t>The law required l</w:t>
      </w:r>
      <w:r w:rsidR="0001414B">
        <w:t>arger towns to hire a schoolmaster, to prepare the more promising boys to go to Harvard</w:t>
      </w:r>
      <w:r w:rsidR="00ED78FF">
        <w:t xml:space="preserve"> College</w:t>
      </w:r>
      <w:r w:rsidR="0001414B">
        <w:t xml:space="preserve">. </w:t>
      </w:r>
      <w:r w:rsidR="00330E5D">
        <w:t>In the colonial period, t</w:t>
      </w:r>
      <w:r w:rsidR="0001414B">
        <w:t>he school</w:t>
      </w:r>
      <w:r w:rsidR="00ED0EFD">
        <w:t xml:space="preserve">teachers </w:t>
      </w:r>
      <w:r w:rsidR="00330E5D">
        <w:t xml:space="preserve">in Massachusetts </w:t>
      </w:r>
      <w:r w:rsidR="00ED0EFD">
        <w:t xml:space="preserve">used a simple yet effective </w:t>
      </w:r>
      <w:r w:rsidR="009B27C9">
        <w:t xml:space="preserve">phonics-based </w:t>
      </w:r>
      <w:r w:rsidR="00ED0EFD">
        <w:t xml:space="preserve">method for teaching reading. </w:t>
      </w:r>
      <w:r>
        <w:t>As a result</w:t>
      </w:r>
      <w:r w:rsidR="006525D2">
        <w:t xml:space="preserve"> of this support for education</w:t>
      </w:r>
      <w:r>
        <w:t xml:space="preserve">, Massachusetts </w:t>
      </w:r>
      <w:r w:rsidR="008F4E86">
        <w:t xml:space="preserve">eventually </w:t>
      </w:r>
      <w:r>
        <w:t xml:space="preserve">achieved </w:t>
      </w:r>
      <w:r w:rsidR="004E0410">
        <w:t xml:space="preserve">practically universal </w:t>
      </w:r>
      <w:r>
        <w:t>literacy</w:t>
      </w:r>
      <w:r w:rsidR="00594617">
        <w:t>, at least among people who had grown up in Massachusetts.</w:t>
      </w:r>
      <w:r>
        <w:t xml:space="preserve"> </w:t>
      </w:r>
    </w:p>
    <w:p w:rsidR="00DF3D47" w:rsidRDefault="00F97BD0">
      <w:r>
        <w:t xml:space="preserve">Things were different in the South. In the wake of a major slave uprising, the legislature of South Carolina passed the Negro Act of 1740. This law declared that every “Negro” was an absolute and permanent slave, made it illegal for slaves to leave their master’s property without a written pass, and made it illegal to teach any slave to write. The rest of the South eventually followed suit. Thus, until the end of the Civil War, it was illegal in much of the United States to teach any black person to read and write. </w:t>
      </w:r>
    </w:p>
    <w:p w:rsidR="004E0410" w:rsidRDefault="00DF3D47" w:rsidP="00E05566">
      <w:r>
        <w:t xml:space="preserve">After the Civil War, </w:t>
      </w:r>
      <w:r w:rsidR="00CA11BE">
        <w:t>the 13</w:t>
      </w:r>
      <w:r w:rsidR="00CA11BE" w:rsidRPr="00CA11BE">
        <w:rPr>
          <w:vertAlign w:val="superscript"/>
        </w:rPr>
        <w:t>th</w:t>
      </w:r>
      <w:r w:rsidR="00CA11BE">
        <w:t xml:space="preserve"> Amendment </w:t>
      </w:r>
      <w:r w:rsidR="00464FF9">
        <w:t xml:space="preserve">outlawed </w:t>
      </w:r>
      <w:r w:rsidR="00CA11BE">
        <w:t>slavery</w:t>
      </w:r>
      <w:r w:rsidR="001B06D3">
        <w:t xml:space="preserve"> and involuntary servitude</w:t>
      </w:r>
      <w:r w:rsidR="00CA11BE">
        <w:t xml:space="preserve"> (except for </w:t>
      </w:r>
      <w:r w:rsidR="00A6245F">
        <w:t>people convicted of a crime</w:t>
      </w:r>
      <w:r w:rsidR="00CA11BE">
        <w:t xml:space="preserve">). </w:t>
      </w:r>
      <w:r w:rsidR="00F67A34">
        <w:t>As a result</w:t>
      </w:r>
      <w:r w:rsidR="00CA11BE">
        <w:t xml:space="preserve">, the laws against teaching slaves to read became </w:t>
      </w:r>
      <w:r w:rsidR="00353B71">
        <w:t xml:space="preserve">null and </w:t>
      </w:r>
      <w:r w:rsidR="00CA11BE">
        <w:t>void. The 14</w:t>
      </w:r>
      <w:r w:rsidR="00CA11BE" w:rsidRPr="00CA11BE">
        <w:rPr>
          <w:vertAlign w:val="superscript"/>
        </w:rPr>
        <w:t>th</w:t>
      </w:r>
      <w:r w:rsidR="00CA11BE">
        <w:t xml:space="preserve"> Amendment made the laws against educating black people </w:t>
      </w:r>
      <w:r>
        <w:t xml:space="preserve">unenforceable. </w:t>
      </w:r>
      <w:r w:rsidR="00E05566">
        <w:t xml:space="preserve">Nevertheless, </w:t>
      </w:r>
      <w:r w:rsidR="00CA11BE">
        <w:t xml:space="preserve">some powerful people still found ways to </w:t>
      </w:r>
      <w:r w:rsidR="00E05566">
        <w:t xml:space="preserve">prevent black people and poor whites from getting “too much” education. </w:t>
      </w:r>
      <w:r w:rsidR="00EA1FEE">
        <w:t xml:space="preserve">By 1889, </w:t>
      </w:r>
      <w:r w:rsidR="00262BED">
        <w:t xml:space="preserve">William Torrey Harris, </w:t>
      </w:r>
      <w:r w:rsidR="00EA1FEE">
        <w:t>the U.S. Commissioner of Education</w:t>
      </w:r>
      <w:r w:rsidR="00262BED">
        <w:t>,</w:t>
      </w:r>
      <w:r w:rsidR="00EA1FEE">
        <w:t xml:space="preserve"> </w:t>
      </w:r>
      <w:r w:rsidR="00262BED">
        <w:t xml:space="preserve">could </w:t>
      </w:r>
      <w:r w:rsidR="00EA1FEE">
        <w:t>assure railroad magnate Collis P. Huntington</w:t>
      </w:r>
      <w:r w:rsidR="00330E5D">
        <w:t xml:space="preserve">, </w:t>
      </w:r>
      <w:r w:rsidR="00330E5D" w:rsidRPr="00AC20CF">
        <w:t>“Our schools have been scientifically designed to prevent over-education from happening. The average citizen should be content with their humble role in life.”</w:t>
      </w:r>
    </w:p>
    <w:p w:rsidR="00E05566" w:rsidRDefault="00EA1FEE" w:rsidP="00E05566">
      <w:r>
        <w:t xml:space="preserve">One </w:t>
      </w:r>
      <w:r w:rsidR="004E0410">
        <w:t xml:space="preserve">way to prevent “over-education” was </w:t>
      </w:r>
      <w:r>
        <w:t xml:space="preserve">to provide </w:t>
      </w:r>
      <w:r w:rsidR="00AA371D">
        <w:t>“</w:t>
      </w:r>
      <w:r>
        <w:t>s</w:t>
      </w:r>
      <w:r w:rsidR="00AA371D">
        <w:t>eparate but equal” schooling</w:t>
      </w:r>
      <w:r w:rsidR="00E05566">
        <w:t xml:space="preserve"> for </w:t>
      </w:r>
      <w:r w:rsidR="00BE5FA6">
        <w:t>black and white children</w:t>
      </w:r>
      <w:r w:rsidR="00E05566">
        <w:t xml:space="preserve">. However, de jure segregation was eventually declared </w:t>
      </w:r>
      <w:proofErr w:type="spellStart"/>
      <w:r w:rsidR="00E05566">
        <w:t>unconstitutional.</w:t>
      </w:r>
      <w:proofErr w:type="spellEnd"/>
      <w:r w:rsidR="00FA5962">
        <w:fldChar w:fldCharType="begin"/>
      </w:r>
      <w:r w:rsidR="00125A45">
        <w:instrText xml:space="preserve"> ADDIN EN.CITE &lt;EndNote&gt;&lt;Cite&gt;&lt;RecNum&gt;5&lt;/RecNum&gt;&lt;DisplayText&gt;&lt;style face="superscript"&gt;1&lt;/style&gt;&lt;/DisplayText&gt;&lt;record&gt;&lt;rec-number&gt;5&lt;/rec-number&gt;&lt;foreign-keys&gt;&lt;key app="EN" db-id="9ves2s0pu2tef1es29rxevzyxrrw20xrsf9f" timestamp="1489504707"&gt;5&lt;/key&gt;&lt;/foreign-keys&gt;&lt;ref-type name="Legal Rule or Regulation"&gt;50&lt;/ref-type&gt;&lt;contributors&gt;&lt;/contributors&gt;&lt;titles&gt;&lt;title&gt;Brown v. Board of Education of Topeka&lt;/title&gt;&lt;secondary-title&gt;347 U.S. 483&lt;/secondary-title&gt;&lt;/titles&gt;&lt;dates&gt;&lt;year&gt;1954&lt;/year&gt;&lt;/dates&gt;&lt;urls&gt;&lt;/urls&gt;&lt;/record&gt;&lt;/Cite&gt;&lt;/EndNote&gt;</w:instrText>
      </w:r>
      <w:r w:rsidR="00FA5962">
        <w:fldChar w:fldCharType="separate"/>
      </w:r>
      <w:r w:rsidR="00125A45" w:rsidRPr="00125A45">
        <w:rPr>
          <w:noProof/>
          <w:vertAlign w:val="superscript"/>
        </w:rPr>
        <w:t>1</w:t>
      </w:r>
      <w:r w:rsidR="00FA5962">
        <w:fldChar w:fldCharType="end"/>
      </w:r>
      <w:r w:rsidR="00E05566">
        <w:t xml:space="preserve"> Another approach was to make each school dependent on the local tax base for its funding. This approach </w:t>
      </w:r>
      <w:r w:rsidR="00A82EB8">
        <w:t xml:space="preserve">helped to reinforce the existing class structure by ensuring </w:t>
      </w:r>
      <w:r w:rsidR="00E05566">
        <w:t>that there would be poorly funded schools in poor neighborhoods and generously funded schools in affluent neighborhoods. Yet even that approac</w:t>
      </w:r>
      <w:r w:rsidR="00BE5FA6">
        <w:t xml:space="preserve">h </w:t>
      </w:r>
      <w:r w:rsidR="004E0410">
        <w:t xml:space="preserve">runs </w:t>
      </w:r>
      <w:r w:rsidR="001B06D3">
        <w:t xml:space="preserve">contrary to the </w:t>
      </w:r>
      <w:r w:rsidR="00BE5FA6">
        <w:t>14</w:t>
      </w:r>
      <w:r w:rsidR="00BE5FA6" w:rsidRPr="00BE5FA6">
        <w:rPr>
          <w:vertAlign w:val="superscript"/>
        </w:rPr>
        <w:t>th</w:t>
      </w:r>
      <w:r w:rsidR="00BE5FA6">
        <w:t xml:space="preserve"> Amendment</w:t>
      </w:r>
      <w:r w:rsidR="00CA11BE">
        <w:t xml:space="preserve">’s Equal Protection </w:t>
      </w:r>
      <w:proofErr w:type="spellStart"/>
      <w:r w:rsidR="00CA11BE">
        <w:t>clause</w:t>
      </w:r>
      <w:r w:rsidR="00BE5FA6">
        <w:t>.</w:t>
      </w:r>
      <w:proofErr w:type="spellEnd"/>
      <w:r w:rsidR="00FA5962">
        <w:fldChar w:fldCharType="begin"/>
      </w:r>
      <w:r w:rsidR="00125A45">
        <w:instrText xml:space="preserve"> ADDIN EN.CITE &lt;EndNote&gt;&lt;Cite&gt;&lt;Author&gt;Bensfield&lt;/Author&gt;&lt;Year&gt;1970&lt;/Year&gt;&lt;RecNum&gt;6&lt;/RecNum&gt;&lt;DisplayText&gt;&lt;style face="superscript"&gt;2&lt;/style&gt;&lt;/DisplayText&gt;&lt;record&gt;&lt;rec-number&gt;6&lt;/rec-number&gt;&lt;foreign-keys&gt;&lt;key app="EN" db-id="9ves2s0pu2tef1es29rxevzyxrrw20xrsf9f" timestamp="1489504804"&gt;6&lt;/key&gt;&lt;/foreign-keys&gt;&lt;ref-type name="Journal Article"&gt;17&lt;/ref-type&gt;&lt;contributors&gt;&lt;authors&gt;&lt;author&gt;Bensfield, J.A.&lt;/author&gt;&lt;/authors&gt;&lt;/contributors&gt;&lt;titles&gt;&lt;title&gt;School financing and the Fourteenth Amendment&lt;/title&gt;&lt;secondary-title&gt;Inequality in Education&lt;/secondary-title&gt;&lt;/titles&gt;&lt;periodical&gt;&lt;full-title&gt;Inequality in Education&lt;/full-title&gt;&lt;/periodical&gt;&lt;pages&gt;1-6&lt;/pages&gt;&lt;volume&gt;1&lt;/volume&gt;&lt;dates&gt;&lt;year&gt;1970&lt;/year&gt;&lt;/dates&gt;&lt;urls&gt;&lt;/urls&gt;&lt;/record&gt;&lt;/Cite&gt;&lt;/EndNote&gt;</w:instrText>
      </w:r>
      <w:r w:rsidR="00FA5962">
        <w:fldChar w:fldCharType="separate"/>
      </w:r>
      <w:r w:rsidR="00125A45" w:rsidRPr="00125A45">
        <w:rPr>
          <w:noProof/>
          <w:vertAlign w:val="superscript"/>
        </w:rPr>
        <w:t>2</w:t>
      </w:r>
      <w:r w:rsidR="00FA5962">
        <w:fldChar w:fldCharType="end"/>
      </w:r>
      <w:r w:rsidR="00BE5FA6">
        <w:t xml:space="preserve"> </w:t>
      </w:r>
      <w:r w:rsidR="001B06D3">
        <w:t xml:space="preserve">So there was a desire among elites for </w:t>
      </w:r>
      <w:r w:rsidR="00E05566">
        <w:t xml:space="preserve">some way to </w:t>
      </w:r>
      <w:r w:rsidR="00A04C27">
        <w:t>go through the motions o</w:t>
      </w:r>
      <w:r w:rsidR="00ED0EFD">
        <w:t xml:space="preserve">f providing universal free public </w:t>
      </w:r>
      <w:r w:rsidR="00ED0EFD" w:rsidRPr="00CA11BE">
        <w:rPr>
          <w:i/>
        </w:rPr>
        <w:t>schooling</w:t>
      </w:r>
      <w:r w:rsidR="00ED0EFD">
        <w:t xml:space="preserve"> without actually providing </w:t>
      </w:r>
      <w:r w:rsidR="00CA11BE">
        <w:t xml:space="preserve">universal </w:t>
      </w:r>
      <w:r w:rsidR="00ED0EFD">
        <w:t xml:space="preserve">free public </w:t>
      </w:r>
      <w:r w:rsidR="00ED0EFD" w:rsidRPr="00CA11BE">
        <w:rPr>
          <w:i/>
        </w:rPr>
        <w:t>education</w:t>
      </w:r>
      <w:r w:rsidR="00ED0EFD">
        <w:t xml:space="preserve">. </w:t>
      </w:r>
      <w:r w:rsidR="00E05566">
        <w:t>The most effective way to achieve that goal is to use a method of reading instruction that does not work. People who have not learned to read cannot read to learn.</w:t>
      </w:r>
      <w:r w:rsidR="006C5B91">
        <w:t xml:space="preserve"> In this context, note that John Dewey</w:t>
      </w:r>
      <w:r w:rsidR="0045339C">
        <w:t xml:space="preserve"> was opposed to direct instruction in phonics, preferring instead an incidental approach to teaching reading. He </w:t>
      </w:r>
      <w:r w:rsidR="006C5B91">
        <w:t>argued that the emphasis on teaching reading in primary school was a “</w:t>
      </w:r>
      <w:proofErr w:type="spellStart"/>
      <w:r w:rsidR="006C5B91">
        <w:t>fetich</w:t>
      </w:r>
      <w:proofErr w:type="spellEnd"/>
      <w:r w:rsidR="008F782C">
        <w:t>.</w:t>
      </w:r>
      <w:r w:rsidR="006C5B91">
        <w:t>”</w:t>
      </w:r>
      <w:r w:rsidR="006C5B91">
        <w:fldChar w:fldCharType="begin"/>
      </w:r>
      <w:r w:rsidR="00125A45">
        <w:instrText xml:space="preserve"> ADDIN EN.CITE &lt;EndNote&gt;&lt;Cite&gt;&lt;Author&gt;Dewey&lt;/Author&gt;&lt;Year&gt;1898&lt;/Year&gt;&lt;RecNum&gt;20&lt;/RecNum&gt;&lt;DisplayText&gt;&lt;style face="superscript"&gt;3&lt;/style&gt;&lt;/DisplayText&gt;&lt;record&gt;&lt;rec-number&gt;20&lt;/rec-number&gt;&lt;foreign-keys&gt;&lt;key app="EN" db-id="9ves2s0pu2tef1es29rxevzyxrrw20xrsf9f" timestamp="1490459365"&gt;20&lt;/key&gt;&lt;/foreign-keys&gt;&lt;ref-type name="Journal Article"&gt;17&lt;/ref-type&gt;&lt;contributors&gt;&lt;authors&gt;&lt;author&gt;Dewey, John&lt;/author&gt;&lt;/authors&gt;&lt;/contributors&gt;&lt;titles&gt;&lt;title&gt;The primary-education fetich &lt;/title&gt;&lt;secondary-title&gt;Forum&lt;/secondary-title&gt;&lt;/titles&gt;&lt;periodical&gt;&lt;full-title&gt;Forum&lt;/full-title&gt;&lt;/periodical&gt;&lt;pages&gt;314-328&lt;/pages&gt;&lt;volume&gt;XXV&lt;/volume&gt;&lt;dates&gt;&lt;year&gt;1898&lt;/year&gt;&lt;/dates&gt;&lt;urls&gt;&lt;/urls&gt;&lt;/record&gt;&lt;/Cite&gt;&lt;/EndNote&gt;</w:instrText>
      </w:r>
      <w:r w:rsidR="006C5B91">
        <w:fldChar w:fldCharType="separate"/>
      </w:r>
      <w:r w:rsidR="00125A45" w:rsidRPr="00125A45">
        <w:rPr>
          <w:noProof/>
          <w:vertAlign w:val="superscript"/>
        </w:rPr>
        <w:t>3</w:t>
      </w:r>
      <w:r w:rsidR="006C5B91">
        <w:fldChar w:fldCharType="end"/>
      </w:r>
      <w:r w:rsidR="001713DB">
        <w:t xml:space="preserve"> </w:t>
      </w:r>
    </w:p>
    <w:p w:rsidR="009C6561" w:rsidRDefault="00D96840" w:rsidP="009C6561">
      <w:pPr>
        <w:pStyle w:val="Heading1"/>
      </w:pPr>
      <w:r>
        <w:t>Philanthropy and Pedagogy</w:t>
      </w:r>
    </w:p>
    <w:p w:rsidR="00B33D1A" w:rsidRDefault="0001414B" w:rsidP="00E05566">
      <w:r>
        <w:t>To understand Dewey’s role</w:t>
      </w:r>
      <w:r w:rsidR="006C5B91">
        <w:t xml:space="preserve"> in shaping public education in the United States</w:t>
      </w:r>
      <w:r>
        <w:t xml:space="preserve">, you need to understand </w:t>
      </w:r>
      <w:r w:rsidR="00ED78FF">
        <w:t xml:space="preserve">that he came to prominence by serving in institutions that were founded or at least funded by the world’s richest man, </w:t>
      </w:r>
      <w:r w:rsidR="00AE6214">
        <w:t xml:space="preserve">oil baron </w:t>
      </w:r>
      <w:r w:rsidR="00ED78FF">
        <w:t>John D. Rockefeller</w:t>
      </w:r>
      <w:r w:rsidR="00D41A64">
        <w:t>.</w:t>
      </w:r>
      <w:r w:rsidR="000B6253">
        <w:rPr>
          <w:rStyle w:val="FootnoteReference"/>
        </w:rPr>
        <w:footnoteReference w:id="1"/>
      </w:r>
      <w:r w:rsidR="00D41A64">
        <w:t xml:space="preserve"> By the early 20</w:t>
      </w:r>
      <w:r w:rsidR="00D41A64" w:rsidRPr="00D41A64">
        <w:rPr>
          <w:vertAlign w:val="superscript"/>
        </w:rPr>
        <w:t>th</w:t>
      </w:r>
      <w:r w:rsidR="00D41A64">
        <w:t xml:space="preserve"> century, </w:t>
      </w:r>
      <w:r w:rsidR="00ED78FF">
        <w:t xml:space="preserve">so much of the economy </w:t>
      </w:r>
      <w:r w:rsidR="00ED78FF">
        <w:lastRenderedPageBreak/>
        <w:t>had fallen under the control of so few persons that those persons started using their philanthropy</w:t>
      </w:r>
      <w:r w:rsidR="00C8006F">
        <w:t xml:space="preserve"> in a coordinated way</w:t>
      </w:r>
      <w:r w:rsidR="00ED78FF">
        <w:t xml:space="preserve"> to </w:t>
      </w:r>
      <w:r w:rsidR="001B06D3">
        <w:t>shape</w:t>
      </w:r>
      <w:r w:rsidR="00580525">
        <w:t xml:space="preserve"> the nation’s </w:t>
      </w:r>
      <w:r w:rsidR="00ED78FF">
        <w:t xml:space="preserve">educational system as a whole. On one hand, they provided generous funding to </w:t>
      </w:r>
      <w:r w:rsidR="001B06D3">
        <w:t xml:space="preserve">some </w:t>
      </w:r>
      <w:r w:rsidR="00ED78FF">
        <w:t>institutions of higher learning</w:t>
      </w:r>
      <w:r w:rsidR="00C8006F">
        <w:t xml:space="preserve">. Thus, they </w:t>
      </w:r>
      <w:r w:rsidR="00ED78FF">
        <w:t>ensure</w:t>
      </w:r>
      <w:r w:rsidR="00C8006F">
        <w:t>d that there would be</w:t>
      </w:r>
      <w:r w:rsidR="00ED78FF">
        <w:t xml:space="preserve"> an adequate supply of </w:t>
      </w:r>
      <w:r w:rsidR="00464FF9">
        <w:t>well-</w:t>
      </w:r>
      <w:r>
        <w:t xml:space="preserve">trained professionals and technical workers, such as doctors, lawyers, accountants, and engineers. </w:t>
      </w:r>
      <w:r w:rsidR="00ED78FF">
        <w:t xml:space="preserve">They also funded conservatories and so on to </w:t>
      </w:r>
      <w:r>
        <w:t xml:space="preserve">produce a supply of orchestra musicians and ballet dancers and so on to entertain the wealthy. </w:t>
      </w:r>
      <w:r w:rsidR="001B06D3">
        <w:t xml:space="preserve">They also encouraged the creation of public schools, including public high schools. Yet those public schools would provide three tracks of education. </w:t>
      </w:r>
      <w:r w:rsidR="00ED78FF">
        <w:t xml:space="preserve">A few of the more promising boys would be prepared for college, so that they could go on to become professionals or </w:t>
      </w:r>
      <w:r w:rsidR="001B06D3">
        <w:t>scientists</w:t>
      </w:r>
      <w:r w:rsidR="00ED78FF">
        <w:t xml:space="preserve">. A somewhat larger percentage of the students would be prepared for some sort of clerical work. </w:t>
      </w:r>
      <w:r w:rsidR="00680AC3">
        <w:t xml:space="preserve">However, </w:t>
      </w:r>
      <w:r w:rsidR="001B06D3">
        <w:t xml:space="preserve">a substantial </w:t>
      </w:r>
      <w:r w:rsidR="00680AC3">
        <w:t xml:space="preserve">proportion would be prepared for manual labor by learning </w:t>
      </w:r>
      <w:r w:rsidR="00464FF9">
        <w:t xml:space="preserve">regimentation and </w:t>
      </w:r>
      <w:r w:rsidR="00680AC3">
        <w:t xml:space="preserve">obedience and </w:t>
      </w:r>
      <w:r w:rsidR="00B33D1A">
        <w:t xml:space="preserve">perhaps </w:t>
      </w:r>
      <w:r w:rsidR="00680AC3">
        <w:t xml:space="preserve">the </w:t>
      </w:r>
      <w:r w:rsidR="00BA665A">
        <w:t>mechanical</w:t>
      </w:r>
      <w:r w:rsidR="00B33D1A">
        <w:t xml:space="preserve"> arts, such as carpentry. </w:t>
      </w:r>
    </w:p>
    <w:p w:rsidR="00F66B7E" w:rsidRDefault="00F66B7E" w:rsidP="00E05566">
      <w:r>
        <w:t xml:space="preserve">From the perspective of the captains of industry, the purpose of the educational system was to prepare the workforce to serve the </w:t>
      </w:r>
      <w:r w:rsidR="00841E24">
        <w:t>needs</w:t>
      </w:r>
      <w:r>
        <w:t xml:space="preserve"> of the captains of industry, not to empower</w:t>
      </w:r>
      <w:r w:rsidR="00BE3771">
        <w:t xml:space="preserve"> a broad-based political movement that would bring about a worker’s paradise.</w:t>
      </w:r>
      <w:r>
        <w:t xml:space="preserve"> </w:t>
      </w:r>
      <w:r w:rsidR="00BE3771">
        <w:t xml:space="preserve">Thus, </w:t>
      </w:r>
      <w:r w:rsidR="008672EF">
        <w:t xml:space="preserve">industrialists wanted to </w:t>
      </w:r>
      <w:r w:rsidR="00493448">
        <w:t xml:space="preserve">“dumb down” the </w:t>
      </w:r>
      <w:r w:rsidR="008672EF">
        <w:t xml:space="preserve">public </w:t>
      </w:r>
      <w:r w:rsidR="00493448">
        <w:t xml:space="preserve">schools, so that </w:t>
      </w:r>
      <w:r w:rsidR="0032489B">
        <w:t xml:space="preserve">other </w:t>
      </w:r>
      <w:r w:rsidR="008672EF">
        <w:t xml:space="preserve">people’s children would learn only enough to make them useful </w:t>
      </w:r>
      <w:r w:rsidR="00493448">
        <w:t>to industry</w:t>
      </w:r>
      <w:r w:rsidR="00B33D1A">
        <w:t>.</w:t>
      </w:r>
      <w:r w:rsidR="00493448">
        <w:t xml:space="preserve"> </w:t>
      </w:r>
      <w:r w:rsidR="00FC3308">
        <w:t xml:space="preserve">Meanwhile, the industrialists sent their own children to elite private schools, which would prepare them to take their place in the ruling class. </w:t>
      </w:r>
      <w:r w:rsidR="00200681">
        <w:t xml:space="preserve">This kind of educational injustice </w:t>
      </w:r>
      <w:r w:rsidR="00FC3308">
        <w:t xml:space="preserve">inspired Aldous Huxley to write </w:t>
      </w:r>
      <w:r w:rsidR="00FC3308" w:rsidRPr="0070424F">
        <w:rPr>
          <w:i/>
        </w:rPr>
        <w:t>Brave New World</w:t>
      </w:r>
      <w:r w:rsidR="00FC3308">
        <w:t xml:space="preserve">. In Huxley’s dystopia, children who are destined for the lower classes are </w:t>
      </w:r>
      <w:r w:rsidR="00F67A34">
        <w:t xml:space="preserve">deliberately </w:t>
      </w:r>
      <w:r w:rsidR="00FC3308">
        <w:t xml:space="preserve">stunted, from the moment of </w:t>
      </w:r>
      <w:proofErr w:type="spellStart"/>
      <w:r w:rsidR="00FC3308">
        <w:t>conception.</w:t>
      </w:r>
      <w:proofErr w:type="spellEnd"/>
      <w:r w:rsidR="00FC3308">
        <w:fldChar w:fldCharType="begin"/>
      </w:r>
      <w:r w:rsidR="0032489B">
        <w:instrText xml:space="preserve"> ADDIN EN.CITE &lt;EndNote&gt;&lt;Cite&gt;&lt;Author&gt;Huxley&lt;/Author&gt;&lt;Year&gt;1932&lt;/Year&gt;&lt;RecNum&gt;19&lt;/RecNum&gt;&lt;DisplayText&gt;&lt;style face="superscript"&gt;4&lt;/style&gt;&lt;/DisplayText&gt;&lt;record&gt;&lt;rec-number&gt;19&lt;/rec-number&gt;&lt;foreign-keys&gt;&lt;key app="EN" db-id="9ves2s0pu2tef1es29rxevzyxrrw20xrsf9f" timestamp="1490409722"&gt;19&lt;/key&gt;&lt;/foreign-keys&gt;&lt;ref-type name="Book"&gt;6&lt;/ref-type&gt;&lt;contributors&gt;&lt;authors&gt;&lt;author&gt;Huxley, Aldous&lt;/author&gt;&lt;/authors&gt;&lt;/contributors&gt;&lt;titles&gt;&lt;title&gt;Brave New World&lt;/title&gt;&lt;/titles&gt;&lt;dates&gt;&lt;year&gt;1932&lt;/year&gt;&lt;/dates&gt;&lt;pub-location&gt;London, UK&lt;/pub-location&gt;&lt;publisher&gt;Chatto &amp;amp; Windus&lt;/publisher&gt;&lt;urls&gt;&lt;/urls&gt;&lt;/record&gt;&lt;/Cite&gt;&lt;/EndNote&gt;</w:instrText>
      </w:r>
      <w:r w:rsidR="00FC3308">
        <w:fldChar w:fldCharType="separate"/>
      </w:r>
      <w:r w:rsidR="0032489B" w:rsidRPr="0032489B">
        <w:rPr>
          <w:noProof/>
          <w:vertAlign w:val="superscript"/>
        </w:rPr>
        <w:t>4</w:t>
      </w:r>
      <w:r w:rsidR="00FC3308">
        <w:fldChar w:fldCharType="end"/>
      </w:r>
      <w:r w:rsidR="00FC3308">
        <w:t xml:space="preserve"> </w:t>
      </w:r>
    </w:p>
    <w:p w:rsidR="00D96840" w:rsidRDefault="00D96840" w:rsidP="00D96840">
      <w:pPr>
        <w:pStyle w:val="Heading1"/>
      </w:pPr>
      <w:r>
        <w:t>Why Johnny Can’t Read</w:t>
      </w:r>
    </w:p>
    <w:p w:rsidR="00BE5FA6" w:rsidRDefault="0079799E">
      <w:r>
        <w:t>A</w:t>
      </w:r>
      <w:r w:rsidR="00ED0EFD">
        <w:t xml:space="preserve"> bad method of teaching reading was pioneered in Massachusetts</w:t>
      </w:r>
      <w:r w:rsidR="00D20E86">
        <w:t xml:space="preserve"> in the </w:t>
      </w:r>
      <w:proofErr w:type="spellStart"/>
      <w:r w:rsidR="00D20E86">
        <w:t>1830s</w:t>
      </w:r>
      <w:proofErr w:type="spellEnd"/>
      <w:r w:rsidR="00ED0EFD">
        <w:t xml:space="preserve">, during a time of labor unrest in the burgeoning textile industry. </w:t>
      </w:r>
      <w:r w:rsidR="00FA5962">
        <w:t xml:space="preserve">At the time, the young women who worked in the textile mills in Lowell were using their writing skills to plead their case for better pay, shorter hours, and better working </w:t>
      </w:r>
      <w:proofErr w:type="spellStart"/>
      <w:r w:rsidR="00FA5962">
        <w:t>conditions.</w:t>
      </w:r>
      <w:proofErr w:type="spellEnd"/>
      <w:r w:rsidR="00FA5962">
        <w:fldChar w:fldCharType="begin"/>
      </w:r>
      <w:r w:rsidR="0032489B">
        <w:instrText xml:space="preserve"> ADDIN EN.CITE &lt;EndNote&gt;&lt;Cite&gt;&lt;Author&gt;Lavender&lt;/Author&gt;&lt;Year&gt;1997&lt;/Year&gt;&lt;RecNum&gt;4&lt;/RecNum&gt;&lt;DisplayText&gt;&lt;style face="superscript"&gt;5&lt;/style&gt;&lt;/DisplayText&gt;&lt;record&gt;&lt;rec-number&gt;4&lt;/rec-number&gt;&lt;foreign-keys&gt;&lt;key app="EN" db-id="9ves2s0pu2tef1es29rxevzyxrrw20xrsf9f" timestamp="1489503503"&gt;4&lt;/key&gt;&lt;/foreign-keys&gt;&lt;ref-type name="Web Page"&gt;12&lt;/ref-type&gt;&lt;contributors&gt;&lt;authors&gt;&lt;author&gt;Lavender, C.&lt;/author&gt;&lt;/authors&gt;&lt;/contributors&gt;&lt;titles&gt;&lt;title&gt;Lowell Mill Girls and the Rhetoric of Women&amp;apos;s Labor Unrest&lt;/title&gt;&lt;/titles&gt;&lt;dates&gt;&lt;year&gt;1997&lt;/year&gt;&lt;/dates&gt;&lt;pub-location&gt;New York, NY&lt;/pub-location&gt;&lt;publisher&gt;Department of History of the College of Staten Island of the City University of New York&lt;/publisher&gt;&lt;urls&gt;&lt;related-urls&gt;&lt;url&gt;http://csivc.csi.cuny.edu/history/files/lavender/lowstr.html&lt;/url&gt;&lt;/related-urls&gt;&lt;/urls&gt;&lt;/record&gt;&lt;/Cite&gt;&lt;/EndNote&gt;</w:instrText>
      </w:r>
      <w:r w:rsidR="00FA5962">
        <w:fldChar w:fldCharType="separate"/>
      </w:r>
      <w:r w:rsidR="0032489B" w:rsidRPr="0032489B">
        <w:rPr>
          <w:noProof/>
          <w:vertAlign w:val="superscript"/>
        </w:rPr>
        <w:t>5</w:t>
      </w:r>
      <w:r w:rsidR="00FA5962">
        <w:fldChar w:fldCharType="end"/>
      </w:r>
      <w:r w:rsidR="00FA5962">
        <w:t xml:space="preserve"> </w:t>
      </w:r>
      <w:r w:rsidR="00F65439">
        <w:t>After</w:t>
      </w:r>
      <w:r w:rsidR="00FA5962">
        <w:t xml:space="preserve"> Horace Mann became the first Secretary of Education for the Commonwealth of Massachusetts, he insisted that teachers should not start by teaching children the alphabet and then showing </w:t>
      </w:r>
      <w:r w:rsidR="00ED0EFD">
        <w:t>children how to sound words out from left to right</w:t>
      </w:r>
      <w:r w:rsidR="00D20E86">
        <w:t xml:space="preserve"> (phonics)</w:t>
      </w:r>
      <w:r w:rsidR="00FA5962">
        <w:t xml:space="preserve">. Instead, </w:t>
      </w:r>
      <w:r w:rsidR="00464FF9">
        <w:t xml:space="preserve">Mann insisted that </w:t>
      </w:r>
      <w:r w:rsidR="00ED0EFD">
        <w:t xml:space="preserve">teachers </w:t>
      </w:r>
      <w:r w:rsidR="00464FF9">
        <w:t xml:space="preserve">should </w:t>
      </w:r>
      <w:r w:rsidR="00ED0EFD">
        <w:t>have children memorize whole words as graphic designs</w:t>
      </w:r>
      <w:r w:rsidR="00AA371D">
        <w:t xml:space="preserve"> (sight words), without regard to the sounds encoded by the </w:t>
      </w:r>
      <w:proofErr w:type="spellStart"/>
      <w:r w:rsidR="00AA371D">
        <w:t>letters.</w:t>
      </w:r>
      <w:proofErr w:type="spellEnd"/>
      <w:r w:rsidR="007B1C47">
        <w:fldChar w:fldCharType="begin"/>
      </w:r>
      <w:r w:rsidR="0032489B">
        <w:instrText xml:space="preserve"> ADDIN EN.CITE &lt;EndNote&gt;&lt;Cite&gt;&lt;Author&gt;Mann&lt;/Author&gt;&lt;Year&gt;1867&lt;/Year&gt;&lt;RecNum&gt;8&lt;/RecNum&gt;&lt;DisplayText&gt;&lt;style face="superscript"&gt;6&lt;/style&gt;&lt;/DisplayText&gt;&lt;record&gt;&lt;rec-number&gt;8&lt;/rec-number&gt;&lt;foreign-keys&gt;&lt;key app="EN" db-id="9ves2s0pu2tef1es29rxevzyxrrw20xrsf9f" timestamp="1489506493"&gt;8&lt;/key&gt;&lt;/foreign-keys&gt;&lt;ref-type name="Book"&gt;6&lt;/ref-type&gt;&lt;contributors&gt;&lt;authors&gt;&lt;author&gt;Mann, Horace&lt;/author&gt;&lt;/authors&gt;&lt;/contributors&gt;&lt;titles&gt;&lt;title&gt;Lectures and Annual Reports on Education&lt;/title&gt;&lt;/titles&gt;&lt;dates&gt;&lt;year&gt;1867&lt;/year&gt;&lt;/dates&gt;&lt;pub-location&gt;Cambridge, MA&lt;/pub-location&gt;&lt;publisher&gt;Horace Mann&lt;/publisher&gt;&lt;urls&gt;&lt;/urls&gt;&lt;/record&gt;&lt;/Cite&gt;&lt;/EndNote&gt;</w:instrText>
      </w:r>
      <w:r w:rsidR="007B1C47">
        <w:fldChar w:fldCharType="separate"/>
      </w:r>
      <w:r w:rsidR="0032489B" w:rsidRPr="0032489B">
        <w:rPr>
          <w:noProof/>
          <w:vertAlign w:val="superscript"/>
        </w:rPr>
        <w:t>6</w:t>
      </w:r>
      <w:r w:rsidR="007B1C47">
        <w:fldChar w:fldCharType="end"/>
      </w:r>
      <w:r w:rsidR="00AA371D">
        <w:t xml:space="preserve"> </w:t>
      </w:r>
      <w:r w:rsidR="00D20E86">
        <w:t xml:space="preserve">The sight-word method was originally intended to be a way to teach deaf children to read. Since deaf children </w:t>
      </w:r>
      <w:r w:rsidR="00B02B2D">
        <w:t xml:space="preserve">cannot </w:t>
      </w:r>
      <w:r w:rsidR="00D20E86">
        <w:t xml:space="preserve">hear, they presumably </w:t>
      </w:r>
      <w:r w:rsidR="00CC2F32">
        <w:t xml:space="preserve">would not be able to grasp </w:t>
      </w:r>
      <w:r w:rsidR="00D20E86">
        <w:t xml:space="preserve">the letter-sound relationships in words. (Of course, today deaf children are taught “visual phonics,” so that they can learn to read lips.) Nevertheless, Horace Mann imposed </w:t>
      </w:r>
      <w:r w:rsidR="007E59CE">
        <w:t xml:space="preserve">the sight-word method </w:t>
      </w:r>
      <w:r w:rsidR="00D20E86">
        <w:t>on the “common schools” (public schools) in Massachusetts.</w:t>
      </w:r>
    </w:p>
    <w:p w:rsidR="0027413D" w:rsidRDefault="00D20E86">
      <w:r>
        <w:t xml:space="preserve">From the perspective of parents and teachers, </w:t>
      </w:r>
      <w:r w:rsidR="00A6245F">
        <w:t xml:space="preserve">who wanted the children to learn, </w:t>
      </w:r>
      <w:r>
        <w:t xml:space="preserve">the </w:t>
      </w:r>
      <w:r w:rsidR="007E59CE">
        <w:t xml:space="preserve">sight-word method was a </w:t>
      </w:r>
      <w:r w:rsidR="0045339C">
        <w:t>disaster</w:t>
      </w:r>
      <w:r w:rsidR="007E59CE">
        <w:t xml:space="preserve">. </w:t>
      </w:r>
      <w:r>
        <w:t xml:space="preserve">A group of 31 Boston schoolmasters published a book to explain that the sight word method was based on a nonsensical rationale and proved to be ineffective in </w:t>
      </w:r>
      <w:proofErr w:type="spellStart"/>
      <w:r>
        <w:t>practice.</w:t>
      </w:r>
      <w:proofErr w:type="spellEnd"/>
      <w:r w:rsidR="00F65439">
        <w:fldChar w:fldCharType="begin"/>
      </w:r>
      <w:r w:rsidR="0032489B">
        <w:instrText xml:space="preserve"> ADDIN EN.CITE &lt;EndNote&gt;&lt;Cite&gt;&lt;Year&gt;1845&lt;/Year&gt;&lt;RecNum&gt;7&lt;/RecNum&gt;&lt;DisplayText&gt;&lt;style face="superscript"&gt;7&lt;/style&gt;&lt;/DisplayText&gt;&lt;record&gt;&lt;rec-number&gt;7&lt;/rec-number&gt;&lt;foreign-keys&gt;&lt;key app="EN" db-id="9ves2s0pu2tef1es29rxevzyxrrw20xrsf9f" timestamp="1489505657"&gt;7&lt;/key&gt;&lt;/foreign-keys&gt;&lt;ref-type name="Book"&gt;6&lt;/ref-type&gt;&lt;contributors&gt;&lt;/contributors&gt;&lt;titles&gt;&lt;title&gt;Penitential tears; or, A cry from the dust, by &amp;quot;the thirty-one,&amp;quot; prostrated and pulverized by the hand of Horace Mann, secretary, &amp;amp;c.&lt;/title&gt;&lt;/titles&gt;&lt;dates&gt;&lt;year&gt;1845&lt;/year&gt;&lt;/dates&gt;&lt;pub-location&gt;Boston, MA&lt;/pub-location&gt;&lt;publisher&gt;C. Stimson&lt;/publisher&gt;&lt;urls&gt;&lt;/urls&gt;&lt;/record&gt;&lt;/Cite&gt;&lt;/EndNote&gt;</w:instrText>
      </w:r>
      <w:r w:rsidR="00F65439">
        <w:fldChar w:fldCharType="separate"/>
      </w:r>
      <w:r w:rsidR="0032489B" w:rsidRPr="0032489B">
        <w:rPr>
          <w:noProof/>
          <w:vertAlign w:val="superscript"/>
        </w:rPr>
        <w:t>7</w:t>
      </w:r>
      <w:r w:rsidR="00F65439">
        <w:fldChar w:fldCharType="end"/>
      </w:r>
      <w:r>
        <w:t xml:space="preserve"> Yet from the perspective of the industrialists, </w:t>
      </w:r>
      <w:r w:rsidR="0027413D">
        <w:t>the resulting</w:t>
      </w:r>
      <w:r>
        <w:t xml:space="preserve"> decline in literacy </w:t>
      </w:r>
      <w:r w:rsidR="00A6245F">
        <w:t xml:space="preserve">was </w:t>
      </w:r>
      <w:r>
        <w:t xml:space="preserve">welcome. </w:t>
      </w:r>
    </w:p>
    <w:p w:rsidR="00A6245F" w:rsidRDefault="00D41A64" w:rsidP="0095325B">
      <w:r>
        <w:lastRenderedPageBreak/>
        <w:t xml:space="preserve">The Boston schoolmasters had their say, but Horace Mann won in the end, as he got to hand-pick the people who </w:t>
      </w:r>
      <w:r w:rsidR="00BA665A">
        <w:t xml:space="preserve">went on </w:t>
      </w:r>
      <w:r>
        <w:t xml:space="preserve">to teach in the teachers’ colleges. </w:t>
      </w:r>
      <w:r w:rsidR="00BE5FA6">
        <w:t xml:space="preserve">Since the </w:t>
      </w:r>
      <w:proofErr w:type="spellStart"/>
      <w:r w:rsidR="00BE5FA6">
        <w:t>1840s</w:t>
      </w:r>
      <w:proofErr w:type="spellEnd"/>
      <w:r w:rsidR="00BE5FA6">
        <w:t>, the sight</w:t>
      </w:r>
      <w:r w:rsidR="00BA665A">
        <w:t>-</w:t>
      </w:r>
      <w:r w:rsidR="00BE5FA6">
        <w:t xml:space="preserve">word method </w:t>
      </w:r>
      <w:r w:rsidR="00211B62">
        <w:t>has continued</w:t>
      </w:r>
      <w:r w:rsidR="00BE5FA6">
        <w:t xml:space="preserve"> to be </w:t>
      </w:r>
      <w:r>
        <w:t xml:space="preserve">heavily </w:t>
      </w:r>
      <w:r w:rsidR="00BE5FA6">
        <w:t xml:space="preserve">promoted by </w:t>
      </w:r>
      <w:r w:rsidR="00464FF9">
        <w:t xml:space="preserve">some of the </w:t>
      </w:r>
      <w:r w:rsidR="00BE5FA6">
        <w:t xml:space="preserve">professors of teachers’ colleges, even though its rationale flies in the face of reason and its </w:t>
      </w:r>
      <w:r>
        <w:t>results are consistently poor</w:t>
      </w:r>
      <w:r w:rsidR="00BE5FA6">
        <w:t>. In 1929, Dr. Samuel Orton explained to the m</w:t>
      </w:r>
      <w:r w:rsidR="00841E24">
        <w:t>edical profession that the sight-</w:t>
      </w:r>
      <w:r w:rsidR="00BE5FA6">
        <w:t xml:space="preserve">word method was the underlying cause of “congenital word blindness,” which is now called </w:t>
      </w:r>
      <w:proofErr w:type="spellStart"/>
      <w:r w:rsidR="00BE5FA6">
        <w:t>dyslexia.</w:t>
      </w:r>
      <w:proofErr w:type="spellEnd"/>
      <w:r w:rsidR="00460718">
        <w:fldChar w:fldCharType="begin"/>
      </w:r>
      <w:r w:rsidR="0032489B">
        <w:instrText xml:space="preserve"> ADDIN EN.CITE &lt;EndNote&gt;&lt;Cite&gt;&lt;Author&gt;Orton&lt;/Author&gt;&lt;Year&gt;1929&lt;/Year&gt;&lt;RecNum&gt;10&lt;/RecNum&gt;&lt;DisplayText&gt;&lt;style face="superscript"&gt;8&lt;/style&gt;&lt;/DisplayText&gt;&lt;record&gt;&lt;rec-number&gt;10&lt;/rec-number&gt;&lt;foreign-keys&gt;&lt;key app="EN" db-id="9ves2s0pu2tef1es29rxevzyxrrw20xrsf9f" timestamp="1489513153"&gt;10&lt;/key&gt;&lt;/foreign-keys&gt;&lt;ref-type name="Journal Article"&gt;17&lt;/ref-type&gt;&lt;contributors&gt;&lt;authors&gt;&lt;author&gt;Orton, S.T.&lt;/author&gt;&lt;/authors&gt;&lt;/contributors&gt;&lt;titles&gt;&lt;title&gt;The “sight reading” method of teaching reading, as a source of reading disability&lt;/title&gt;&lt;secondary-title&gt;Journal of Educational Psychology&lt;/secondary-title&gt;&lt;/titles&gt;&lt;periodical&gt;&lt;full-title&gt;Journal of Educational Psychology&lt;/full-title&gt;&lt;/periodical&gt;&lt;pages&gt;135-143&lt;/pages&gt;&lt;number&gt;20&lt;/number&gt;&lt;dates&gt;&lt;year&gt;1929&lt;/year&gt;&lt;/dates&gt;&lt;urls&gt;&lt;/urls&gt;&lt;/record&gt;&lt;/Cite&gt;&lt;/EndNote&gt;</w:instrText>
      </w:r>
      <w:r w:rsidR="00460718">
        <w:fldChar w:fldCharType="separate"/>
      </w:r>
      <w:r w:rsidR="0032489B" w:rsidRPr="0032489B">
        <w:rPr>
          <w:noProof/>
          <w:vertAlign w:val="superscript"/>
        </w:rPr>
        <w:t>8</w:t>
      </w:r>
      <w:r w:rsidR="00460718">
        <w:fldChar w:fldCharType="end"/>
      </w:r>
      <w:r w:rsidR="000E6855">
        <w:t xml:space="preserve"> Orton noted that the problem with reading often led to </w:t>
      </w:r>
      <w:r w:rsidR="00460718">
        <w:t>emotional and</w:t>
      </w:r>
      <w:r w:rsidR="000E6855">
        <w:t xml:space="preserve"> behavior problems, which would resolve when the child </w:t>
      </w:r>
      <w:r w:rsidR="00211B62">
        <w:t>eventually learned to read as a result of receiving direct instruction in phonics</w:t>
      </w:r>
      <w:r w:rsidR="000E6855">
        <w:t xml:space="preserve">. </w:t>
      </w:r>
    </w:p>
    <w:p w:rsidR="0095325B" w:rsidRDefault="00BE5FA6" w:rsidP="0095325B">
      <w:r>
        <w:t xml:space="preserve">In 1955, Rudolf </w:t>
      </w:r>
      <w:proofErr w:type="spellStart"/>
      <w:r>
        <w:t>Flesch’s</w:t>
      </w:r>
      <w:proofErr w:type="spellEnd"/>
      <w:r>
        <w:t xml:space="preserve"> best-seller </w:t>
      </w:r>
      <w:r w:rsidRPr="0095325B">
        <w:rPr>
          <w:i/>
        </w:rPr>
        <w:t>Why Johnny Can’t Read</w:t>
      </w:r>
      <w:r>
        <w:t xml:space="preserve"> brought this message </w:t>
      </w:r>
      <w:r w:rsidR="000E6855">
        <w:t>about</w:t>
      </w:r>
      <w:r w:rsidR="00211B62">
        <w:t xml:space="preserve"> the importance of</w:t>
      </w:r>
      <w:r w:rsidR="000E6855">
        <w:t xml:space="preserve"> phonics </w:t>
      </w:r>
      <w:r>
        <w:t xml:space="preserve">to a lay </w:t>
      </w:r>
      <w:proofErr w:type="spellStart"/>
      <w:r>
        <w:t>audience.</w:t>
      </w:r>
      <w:proofErr w:type="spellEnd"/>
      <w:r w:rsidR="007B1C47">
        <w:fldChar w:fldCharType="begin"/>
      </w:r>
      <w:r w:rsidR="0032489B">
        <w:instrText xml:space="preserve"> ADDIN EN.CITE &lt;EndNote&gt;&lt;Cite&gt;&lt;Author&gt;Flesch&lt;/Author&gt;&lt;Year&gt;1955&lt;/Year&gt;&lt;RecNum&gt;9&lt;/RecNum&gt;&lt;DisplayText&gt;&lt;style face="superscript"&gt;9&lt;/style&gt;&lt;/DisplayText&gt;&lt;record&gt;&lt;rec-number&gt;9&lt;/rec-number&gt;&lt;foreign-keys&gt;&lt;key app="EN" db-id="9ves2s0pu2tef1es29rxevzyxrrw20xrsf9f" timestamp="1489506779"&gt;9&lt;/key&gt;&lt;/foreign-keys&gt;&lt;ref-type name="Book"&gt;6&lt;/ref-type&gt;&lt;contributors&gt;&lt;authors&gt;&lt;author&gt;Flesch, R.&lt;/author&gt;&lt;/authors&gt;&lt;/contributors&gt;&lt;titles&gt;&lt;title&gt;Why Johnny Can&amp;apos;t Read, and What You Can Do About It&lt;/title&gt;&lt;/titles&gt;&lt;dates&gt;&lt;year&gt;1955&lt;/year&gt;&lt;/dates&gt;&lt;pub-location&gt;New York, NY&lt;/pub-location&gt;&lt;publisher&gt;Harper&lt;/publisher&gt;&lt;urls&gt;&lt;/urls&gt;&lt;/record&gt;&lt;/Cite&gt;&lt;/EndNote&gt;</w:instrText>
      </w:r>
      <w:r w:rsidR="007B1C47">
        <w:fldChar w:fldCharType="separate"/>
      </w:r>
      <w:r w:rsidR="0032489B" w:rsidRPr="0032489B">
        <w:rPr>
          <w:noProof/>
          <w:vertAlign w:val="superscript"/>
        </w:rPr>
        <w:t>9</w:t>
      </w:r>
      <w:r w:rsidR="007B1C47">
        <w:fldChar w:fldCharType="end"/>
      </w:r>
      <w:r>
        <w:t xml:space="preserve"> </w:t>
      </w:r>
      <w:r w:rsidR="00F71904">
        <w:t>The proponents of the sight-word method reacted with scorn</w:t>
      </w:r>
      <w:r w:rsidR="006E79D1">
        <w:t xml:space="preserve">, and many of them vilified </w:t>
      </w:r>
      <w:proofErr w:type="spellStart"/>
      <w:r w:rsidR="006E79D1">
        <w:t>Flesch</w:t>
      </w:r>
      <w:proofErr w:type="spellEnd"/>
      <w:r w:rsidR="006E79D1">
        <w:t xml:space="preserve"> </w:t>
      </w:r>
      <w:proofErr w:type="spellStart"/>
      <w:r w:rsidR="006E79D1">
        <w:t>personally.</w:t>
      </w:r>
      <w:proofErr w:type="spellEnd"/>
      <w:r w:rsidR="006E79D1">
        <w:fldChar w:fldCharType="begin"/>
      </w:r>
      <w:r w:rsidR="0032489B">
        <w:instrText xml:space="preserve"> ADDIN EN.CITE &lt;EndNote&gt;&lt;Cite&gt;&lt;Year&gt;1956&lt;/Year&gt;&lt;RecNum&gt;15&lt;/RecNum&gt;&lt;DisplayText&gt;&lt;style face="superscript"&gt;10&lt;/style&gt;&lt;/DisplayText&gt;&lt;record&gt;&lt;rec-number&gt;15&lt;/rec-number&gt;&lt;foreign-keys&gt;&lt;key app="EN" db-id="9ves2s0pu2tef1es29rxevzyxrrw20xrsf9f" timestamp="1489529922"&gt;15&lt;/key&gt;&lt;/foreign-keys&gt;&lt;ref-type name="Magazine Article"&gt;19&lt;/ref-type&gt;&lt;contributors&gt;&lt;/contributors&gt;&lt;titles&gt;&lt;title&gt;Education: The First R&lt;/title&gt;&lt;secondary-title&gt;Time Magazine&lt;/secondary-title&gt;&lt;/titles&gt;&lt;dates&gt;&lt;year&gt;1956&lt;/year&gt;&lt;pub-dates&gt;&lt;date&gt;January 9&lt;/date&gt;&lt;/pub-dates&gt;&lt;/dates&gt;&lt;urls&gt;&lt;/urls&gt;&lt;/record&gt;&lt;/Cite&gt;&lt;/EndNote&gt;</w:instrText>
      </w:r>
      <w:r w:rsidR="006E79D1">
        <w:fldChar w:fldCharType="separate"/>
      </w:r>
      <w:r w:rsidR="0032489B" w:rsidRPr="0032489B">
        <w:rPr>
          <w:noProof/>
          <w:vertAlign w:val="superscript"/>
        </w:rPr>
        <w:t>10</w:t>
      </w:r>
      <w:r w:rsidR="006E79D1">
        <w:fldChar w:fldCharType="end"/>
      </w:r>
      <w:r w:rsidR="00211B62">
        <w:t xml:space="preserve"> In 1956, some of the publishers of sight-word–based curricula created the International Reading Association, which heavily promoted the sight-word method of teaching reading, along with </w:t>
      </w:r>
      <w:r w:rsidR="00BA665A">
        <w:t xml:space="preserve">lessons on how to hide the fact that </w:t>
      </w:r>
      <w:r w:rsidR="00211B62">
        <w:t xml:space="preserve">one </w:t>
      </w:r>
      <w:r w:rsidR="00BA665A">
        <w:t xml:space="preserve">cannot really read (e.g., children are encouraged to guess the meaning of the words </w:t>
      </w:r>
      <w:r w:rsidR="00125A45">
        <w:t xml:space="preserve">that </w:t>
      </w:r>
      <w:r w:rsidR="00BA665A">
        <w:t xml:space="preserve">they cannot </w:t>
      </w:r>
      <w:r w:rsidR="00125A45">
        <w:t>recognize by sight</w:t>
      </w:r>
      <w:r w:rsidR="00BA665A">
        <w:t xml:space="preserve">). One of these methods was the </w:t>
      </w:r>
      <w:r w:rsidR="00693038">
        <w:t>“</w:t>
      </w:r>
      <w:r w:rsidR="006E79D1">
        <w:t>W</w:t>
      </w:r>
      <w:r w:rsidR="0040148F">
        <w:t xml:space="preserve">hole </w:t>
      </w:r>
      <w:r w:rsidR="006E79D1">
        <w:t>L</w:t>
      </w:r>
      <w:r w:rsidR="0040148F">
        <w:t>anguage</w:t>
      </w:r>
      <w:r w:rsidR="00693038">
        <w:t>”</w:t>
      </w:r>
      <w:r w:rsidR="0040148F">
        <w:t xml:space="preserve"> curriculum </w:t>
      </w:r>
      <w:r w:rsidR="00693038">
        <w:t xml:space="preserve">that was </w:t>
      </w:r>
      <w:r w:rsidR="006E79D1">
        <w:t xml:space="preserve">imposed on the public schools of </w:t>
      </w:r>
      <w:r w:rsidR="00693038">
        <w:t xml:space="preserve">California in the </w:t>
      </w:r>
      <w:proofErr w:type="spellStart"/>
      <w:r w:rsidR="00693038">
        <w:t>1980s</w:t>
      </w:r>
      <w:proofErr w:type="spellEnd"/>
      <w:r w:rsidR="00693038">
        <w:t xml:space="preserve">, with disastrous </w:t>
      </w:r>
      <w:r w:rsidR="00BA665A">
        <w:t>results</w:t>
      </w:r>
      <w:r w:rsidR="00693038">
        <w:t xml:space="preserve">. </w:t>
      </w:r>
      <w:r w:rsidR="0095325B">
        <w:t xml:space="preserve">Occasionally, scientists speak out against </w:t>
      </w:r>
      <w:r w:rsidR="00BA665A">
        <w:t>the sight-word approach</w:t>
      </w:r>
      <w:r w:rsidR="0095325B">
        <w:t xml:space="preserve">. </w:t>
      </w:r>
      <w:r w:rsidR="000E52B3">
        <w:t xml:space="preserve">In </w:t>
      </w:r>
      <w:r w:rsidR="0095325B">
        <w:t xml:space="preserve">1995, forty of the world’s top linguists and psycholinguists wrote an open letter to the </w:t>
      </w:r>
      <w:r w:rsidR="00AA371D">
        <w:t>Massachus</w:t>
      </w:r>
      <w:r w:rsidR="0027413D">
        <w:t>etts Commissioner of Education</w:t>
      </w:r>
      <w:r w:rsidR="00224DFA">
        <w:t xml:space="preserve">, </w:t>
      </w:r>
      <w:r w:rsidR="0095325B">
        <w:t xml:space="preserve">to object to the incorporation of </w:t>
      </w:r>
      <w:r w:rsidR="00841E24">
        <w:t>W</w:t>
      </w:r>
      <w:r w:rsidR="0095325B">
        <w:t xml:space="preserve">hole </w:t>
      </w:r>
      <w:r w:rsidR="00841E24">
        <w:t>L</w:t>
      </w:r>
      <w:r w:rsidR="0095325B">
        <w:t xml:space="preserve">anguage approaches into the state’s curriculum </w:t>
      </w:r>
      <w:proofErr w:type="spellStart"/>
      <w:r w:rsidR="0095325B">
        <w:t>standards.</w:t>
      </w:r>
      <w:proofErr w:type="spellEnd"/>
      <w:r w:rsidR="006B3860">
        <w:fldChar w:fldCharType="begin"/>
      </w:r>
      <w:r w:rsidR="0032489B">
        <w:instrText xml:space="preserve"> ADDIN EN.CITE &lt;EndNote&gt;&lt;Cite&gt;&lt;Author&gt;Bach&lt;/Author&gt;&lt;Year&gt;1995&lt;/Year&gt;&lt;RecNum&gt;16&lt;/RecNum&gt;&lt;DisplayText&gt;&lt;style face="superscript"&gt;11&lt;/style&gt;&lt;/DisplayText&gt;&lt;record&gt;&lt;rec-number&gt;16&lt;/rec-number&gt;&lt;foreign-keys&gt;&lt;key app="EN" db-id="9ves2s0pu2tef1es29rxevzyxrrw20xrsf9f" timestamp="1490384468"&gt;16&lt;/key&gt;&lt;/foreign-keys&gt;&lt;ref-type name="Personal Communication"&gt;26&lt;/ref-type&gt;&lt;contributors&gt;&lt;authors&gt;&lt;author&gt;Bach, E.&lt;/author&gt;&lt;author&gt;Calabrese, A.&lt;/author&gt;&lt;author&gt;Caplan, D.&lt;/author&gt;&lt;author&gt;Clifton, C.&lt;/author&gt;&lt;author&gt;Feinstein, M.&lt;/author&gt;&lt;author&gt;Flynn, S.&lt;/author&gt;&lt;author&gt;Frampton, J.&lt;/author&gt;&lt;author&gt;Frazier, L.&lt;/author&gt;&lt;author&gt;Gibson, E.&lt;/author&gt;&lt;author&gt;et al&lt;/author&gt;&lt;/authors&gt;&lt;secondary-authors&gt;&lt;author&gt;Antonucci, R.V.&lt;/author&gt;&lt;/secondary-authors&gt;&lt;/contributors&gt;&lt;titles&gt;&lt;title&gt;Standards for Reading Instruction in Massachusetts [letter]&lt;/title&gt;&lt;/titles&gt;&lt;dates&gt;&lt;year&gt;1995&lt;/year&gt;&lt;pub-dates&gt;&lt;date&gt;July 14&lt;/date&gt;&lt;/pub-dates&gt;&lt;/dates&gt;&lt;urls&gt;&lt;related-urls&gt;&lt;url&gt;http://nottrivialbook.com/wp-content/uploads/2016/10/40-linguists.pdf&lt;/url&gt;&lt;/related-urls&gt;&lt;/urls&gt;&lt;/record&gt;&lt;/Cite&gt;&lt;/EndNote&gt;</w:instrText>
      </w:r>
      <w:r w:rsidR="006B3860">
        <w:fldChar w:fldCharType="separate"/>
      </w:r>
      <w:r w:rsidR="0032489B" w:rsidRPr="0032489B">
        <w:rPr>
          <w:noProof/>
          <w:vertAlign w:val="superscript"/>
        </w:rPr>
        <w:t>11</w:t>
      </w:r>
      <w:r w:rsidR="006B3860">
        <w:fldChar w:fldCharType="end"/>
      </w:r>
      <w:r w:rsidR="006E79D1">
        <w:t xml:space="preserve"> Yet </w:t>
      </w:r>
      <w:r w:rsidR="00125A45">
        <w:t xml:space="preserve">such warnings have gone </w:t>
      </w:r>
      <w:r w:rsidR="006E79D1">
        <w:t>largely unheeded.</w:t>
      </w:r>
    </w:p>
    <w:p w:rsidR="000D6B8C" w:rsidRDefault="0095325B" w:rsidP="0095325B">
      <w:r>
        <w:t xml:space="preserve">Even when a school uses the sight-word method, many children somehow manage to learn to read. Some are taught to read by </w:t>
      </w:r>
      <w:r w:rsidR="00C24D37">
        <w:t xml:space="preserve">a </w:t>
      </w:r>
      <w:r>
        <w:t>parent</w:t>
      </w:r>
      <w:r w:rsidR="00C24D37">
        <w:t xml:space="preserve"> or grandparent</w:t>
      </w:r>
      <w:r>
        <w:t xml:space="preserve"> or by a tutor. Others figure out the letter-sound relationships on their own</w:t>
      </w:r>
      <w:r w:rsidR="0045339C">
        <w:t>, as I did</w:t>
      </w:r>
      <w:r>
        <w:t xml:space="preserve">. </w:t>
      </w:r>
      <w:r w:rsidR="00C23C41">
        <w:t>Unfortunately, t</w:t>
      </w:r>
      <w:r>
        <w:t xml:space="preserve">he rest </w:t>
      </w:r>
      <w:r w:rsidR="00C23C41">
        <w:t xml:space="preserve">remain </w:t>
      </w:r>
      <w:r w:rsidR="000D6B8C">
        <w:t xml:space="preserve">functionally illiterate. Often, these </w:t>
      </w:r>
      <w:r w:rsidR="00F67A34">
        <w:t>children</w:t>
      </w:r>
      <w:r w:rsidR="000D6B8C">
        <w:t xml:space="preserve"> are given the diagnosis of a brain disease whose only symptom is the failure to learn to read in school. </w:t>
      </w:r>
      <w:r w:rsidR="00841E24">
        <w:t>Yet</w:t>
      </w:r>
      <w:r w:rsidR="0045339C">
        <w:t xml:space="preserve"> unlike any other brain disease, this one </w:t>
      </w:r>
      <w:r w:rsidR="000D6B8C">
        <w:t xml:space="preserve">can be cured by </w:t>
      </w:r>
      <w:r w:rsidR="00125A45">
        <w:t>a short course of instruction in phonics.</w:t>
      </w:r>
      <w:r w:rsidR="009575E7">
        <w:t xml:space="preserve"> Yet to Dewey and his followers, direct instruction </w:t>
      </w:r>
      <w:r w:rsidR="00A32BF3">
        <w:t>in foundational knowledge and skills</w:t>
      </w:r>
      <w:r w:rsidR="009575E7">
        <w:t xml:space="preserve"> was anathema. </w:t>
      </w:r>
    </w:p>
    <w:p w:rsidR="00D96840" w:rsidRDefault="00D96840" w:rsidP="00D96840">
      <w:pPr>
        <w:pStyle w:val="Heading1"/>
      </w:pPr>
      <w:r>
        <w:t>Academic Child Abuse</w:t>
      </w:r>
    </w:p>
    <w:p w:rsidR="00BE3771" w:rsidRDefault="00BE3771" w:rsidP="0095325B">
      <w:r>
        <w:t xml:space="preserve">Dewey’s </w:t>
      </w:r>
      <w:r w:rsidR="00FE331D">
        <w:t xml:space="preserve">disparagement of </w:t>
      </w:r>
      <w:r w:rsidR="00C24D37">
        <w:t xml:space="preserve">the </w:t>
      </w:r>
      <w:r w:rsidR="00FE331D">
        <w:t xml:space="preserve">effective </w:t>
      </w:r>
      <w:r w:rsidR="00C24D37">
        <w:t xml:space="preserve">way to </w:t>
      </w:r>
      <w:r w:rsidR="00FE331D">
        <w:t xml:space="preserve">teach reading </w:t>
      </w:r>
      <w:r>
        <w:t xml:space="preserve">was only one aspect of a pedagogy that discouraged teachers from directly teaching facts and skills of any kind. Instead, children were supposed to develop academic skills </w:t>
      </w:r>
      <w:r w:rsidR="00DB03D2">
        <w:t xml:space="preserve">naturally and </w:t>
      </w:r>
      <w:r>
        <w:t>automatically, in the context of doing other tasks, such as weaving cloth or baking cookies</w:t>
      </w:r>
      <w:r w:rsidR="00C24D37">
        <w:t xml:space="preserve"> or whatever struck their fancy</w:t>
      </w:r>
      <w:r>
        <w:t xml:space="preserve">. </w:t>
      </w:r>
      <w:r w:rsidR="00D41A64">
        <w:t>Dewey and his followers presented t</w:t>
      </w:r>
      <w:r>
        <w:t>his abandonment of academic instruction as an advance, and even as a liberation</w:t>
      </w:r>
      <w:r w:rsidR="00DB03D2">
        <w:t xml:space="preserve"> from the drudgery of</w:t>
      </w:r>
      <w:r w:rsidR="00D41A64">
        <w:t xml:space="preserve"> traditional </w:t>
      </w:r>
      <w:r w:rsidR="00C23C41">
        <w:t>schoolwork</w:t>
      </w:r>
      <w:r w:rsidR="00D41A64">
        <w:t>.</w:t>
      </w:r>
      <w:r>
        <w:t xml:space="preserve"> </w:t>
      </w:r>
      <w:r w:rsidR="009575E7">
        <w:t xml:space="preserve">Yet the abandonment of direct instruction in fundamental disciplines </w:t>
      </w:r>
      <w:r w:rsidR="00A32BF3">
        <w:t>has had such bad results that it has been described as abusive</w:t>
      </w:r>
      <w:r w:rsidR="009575E7">
        <w:t xml:space="preserve">. </w:t>
      </w:r>
      <w:r w:rsidR="00E82323">
        <w:t xml:space="preserve">In the </w:t>
      </w:r>
      <w:proofErr w:type="spellStart"/>
      <w:r w:rsidR="00E82323">
        <w:t>1990s</w:t>
      </w:r>
      <w:proofErr w:type="spellEnd"/>
      <w:r w:rsidR="00E82323">
        <w:t xml:space="preserve">, the International Institute for Advocacy for School Children defined academic child abuse as “the use of practices that cause unnecessary failure in foundational skill and knowledge </w:t>
      </w:r>
      <w:proofErr w:type="spellStart"/>
      <w:r w:rsidR="00E82323">
        <w:t>areas</w:t>
      </w:r>
      <w:r w:rsidR="00066B91">
        <w:t>.</w:t>
      </w:r>
      <w:r w:rsidR="00E82323">
        <w:t>”</w:t>
      </w:r>
      <w:proofErr w:type="spellEnd"/>
      <w:r w:rsidR="00E82323">
        <w:fldChar w:fldCharType="begin"/>
      </w:r>
      <w:r w:rsidR="0032489B">
        <w:instrText xml:space="preserve"> ADDIN EN.CITE &lt;EndNote&gt;&lt;Cite&gt;&lt;Author&gt;Group&lt;/Author&gt;&lt;Year&gt;undated&lt;/Year&gt;&lt;RecNum&gt;3&lt;/RecNum&gt;&lt;DisplayText&gt;&lt;style face="superscript"&gt;12&lt;/style&gt;&lt;/DisplayText&gt;&lt;record&gt;&lt;rec-number&gt;3&lt;/rec-number&gt;&lt;foreign-keys&gt;&lt;key app="EN" db-id="9ves2s0pu2tef1es29rxevzyxrrw20xrsf9f" timestamp="1489502874"&gt;3&lt;/key&gt;&lt;/foreign-keys&gt;&lt;ref-type name="Report"&gt;27&lt;/ref-type&gt;&lt;contributors&gt;&lt;authors&gt;&lt;author&gt;Study Group of the International Institute for Advocacy for School Children,&lt;/author&gt;&lt;/authors&gt;&lt;/contributors&gt;&lt;titles&gt;&lt;title&gt;Academic child abuse&lt;/title&gt;&lt;/titles&gt;&lt;dates&gt;&lt;year&gt;undated&lt;/year&gt;&lt;/dates&gt;&lt;pub-location&gt;Eugene, OR&lt;/pub-location&gt;&lt;publisher&gt;International Institute for Advocacy for School Children&lt;/publisher&gt;&lt;urls&gt;&lt;/urls&gt;&lt;/record&gt;&lt;/Cite&gt;&lt;/EndNote&gt;</w:instrText>
      </w:r>
      <w:r w:rsidR="00E82323">
        <w:fldChar w:fldCharType="separate"/>
      </w:r>
      <w:r w:rsidR="0032489B" w:rsidRPr="0032489B">
        <w:rPr>
          <w:noProof/>
          <w:vertAlign w:val="superscript"/>
        </w:rPr>
        <w:t>12</w:t>
      </w:r>
      <w:r w:rsidR="00E82323">
        <w:fldChar w:fldCharType="end"/>
      </w:r>
    </w:p>
    <w:p w:rsidR="00D96840" w:rsidRDefault="003318E2" w:rsidP="0095325B">
      <w:r>
        <w:t xml:space="preserve">In 1963, the National Council of Teachers of English </w:t>
      </w:r>
      <w:r w:rsidR="009575E7">
        <w:t xml:space="preserve">published a famous </w:t>
      </w:r>
      <w:r w:rsidR="0023249C">
        <w:t>report</w:t>
      </w:r>
      <w:r w:rsidR="009575E7">
        <w:t xml:space="preserve"> that claimed </w:t>
      </w:r>
      <w:r w:rsidR="0023249C">
        <w:t xml:space="preserve">(falsely, in my opinion) </w:t>
      </w:r>
      <w:r w:rsidR="009575E7">
        <w:t xml:space="preserve">that </w:t>
      </w:r>
      <w:r>
        <w:t xml:space="preserve">grammar lessons </w:t>
      </w:r>
      <w:r w:rsidR="00125A45">
        <w:t>were</w:t>
      </w:r>
      <w:r>
        <w:t xml:space="preserve"> not only pointless and boring but probably </w:t>
      </w:r>
      <w:proofErr w:type="spellStart"/>
      <w:r>
        <w:t>harmful.</w:t>
      </w:r>
      <w:proofErr w:type="spellEnd"/>
      <w:r w:rsidR="0023249C">
        <w:fldChar w:fldCharType="begin"/>
      </w:r>
      <w:r w:rsidR="0032489B">
        <w:instrText xml:space="preserve"> ADDIN EN.CITE &lt;EndNote&gt;&lt;Cite&gt;&lt;Author&gt;Braddock&lt;/Author&gt;&lt;Year&gt;1963&lt;/Year&gt;&lt;RecNum&gt;1&lt;/RecNum&gt;&lt;DisplayText&gt;&lt;style face="superscript"&gt;13&lt;/style&gt;&lt;/DisplayText&gt;&lt;record&gt;&lt;rec-number&gt;1&lt;/rec-number&gt;&lt;foreign-keys&gt;&lt;key app="EN" db-id="9ves2s0pu2tef1es29rxevzyxrrw20xrsf9f" timestamp="1489460735"&gt;1&lt;/key&gt;&lt;/foreign-keys&gt;&lt;ref-type name="Report"&gt;27&lt;/ref-type&gt;&lt;contributors&gt;&lt;authors&gt;&lt;author&gt;Braddock, R.&lt;/author&gt;&lt;author&gt;Lloyd-Jones, R.&lt;/author&gt;&lt;author&gt;Schoer, L.&lt;/author&gt;&lt;/authors&gt;&lt;/contributors&gt;&lt;titles&gt;&lt;title&gt;Research in written composition&lt;/title&gt;&lt;/titles&gt;&lt;dates&gt;&lt;year&gt;1963&lt;/year&gt;&lt;/dates&gt;&lt;pub-location&gt;Champaign, IL&lt;/pub-location&gt;&lt;publisher&gt;National Council of Teachers of English&lt;/publisher&gt;&lt;urls&gt;&lt;/urls&gt;&lt;/record&gt;&lt;/Cite&gt;&lt;/EndNote&gt;</w:instrText>
      </w:r>
      <w:r w:rsidR="0023249C">
        <w:fldChar w:fldCharType="separate"/>
      </w:r>
      <w:r w:rsidR="0032489B" w:rsidRPr="0032489B">
        <w:rPr>
          <w:noProof/>
          <w:vertAlign w:val="superscript"/>
        </w:rPr>
        <w:t>13</w:t>
      </w:r>
      <w:r w:rsidR="0023249C">
        <w:fldChar w:fldCharType="end"/>
      </w:r>
      <w:r>
        <w:t xml:space="preserve"> Yet just as schools all over the country started </w:t>
      </w:r>
      <w:r w:rsidR="009575E7">
        <w:t xml:space="preserve">following the </w:t>
      </w:r>
      <w:proofErr w:type="spellStart"/>
      <w:r w:rsidR="009575E7">
        <w:t>NCTE’s</w:t>
      </w:r>
      <w:proofErr w:type="spellEnd"/>
      <w:r w:rsidR="009575E7">
        <w:t xml:space="preserve"> advice to </w:t>
      </w:r>
      <w:r>
        <w:t xml:space="preserve">jettison their grammar curriculum, the verbal SAT scores began a long, steady, and </w:t>
      </w:r>
      <w:r w:rsidR="0023249C">
        <w:t xml:space="preserve">unexpected </w:t>
      </w:r>
      <w:proofErr w:type="spellStart"/>
      <w:r>
        <w:t>decline.</w:t>
      </w:r>
      <w:proofErr w:type="spellEnd"/>
      <w:r w:rsidR="0023249C" w:rsidRPr="0045339C">
        <w:fldChar w:fldCharType="begin"/>
      </w:r>
      <w:r w:rsidR="0032489B">
        <w:instrText xml:space="preserve"> ADDIN EN.CITE &lt;EndNote&gt;&lt;Cite&gt;&lt;Author&gt;Hayes&lt;/Author&gt;&lt;Year&gt;1996&lt;/Year&gt;&lt;RecNum&gt;2&lt;/RecNum&gt;&lt;DisplayText&gt;&lt;style face="superscript"&gt;14&lt;/style&gt;&lt;/DisplayText&gt;&lt;record&gt;&lt;rec-number&gt;2&lt;/rec-number&gt;&lt;foreign-keys&gt;&lt;key app="EN" db-id="9ves2s0pu2tef1es29rxevzyxrrw20xrsf9f" timestamp="1489460856"&gt;2&lt;/key&gt;&lt;/foreign-keys&gt;&lt;ref-type name="Journal Article"&gt;17&lt;/ref-type&gt;&lt;contributors&gt;&lt;authors&gt;&lt;author&gt;Hayes, D.P.&lt;/author&gt;&lt;author&gt;Wolfer, L.T.&lt;/author&gt;&lt;author&gt;Wolfe, M.F.&lt;/author&gt;&lt;/authors&gt;&lt;/contributors&gt;&lt;titles&gt;&lt;title&gt;Schoolbook simplification and its relation to the decline in SAT-Verbal scores&lt;/title&gt;&lt;secondary-title&gt;American Educational Research Journal&lt;/secondary-title&gt;&lt;/titles&gt;&lt;periodical&gt;&lt;full-title&gt;American Educational Research Journal&lt;/full-title&gt;&lt;/periodical&gt;&lt;pages&gt;489-508&lt;/pages&gt;&lt;volume&gt;33&lt;/volume&gt;&lt;number&gt;2&lt;/number&gt;&lt;dates&gt;&lt;year&gt;1996&lt;/year&gt;&lt;/dates&gt;&lt;urls&gt;&lt;/urls&gt;&lt;/record&gt;&lt;/Cite&gt;&lt;/EndNote&gt;</w:instrText>
      </w:r>
      <w:r w:rsidR="0023249C" w:rsidRPr="0045339C">
        <w:fldChar w:fldCharType="separate"/>
      </w:r>
      <w:r w:rsidR="0032489B" w:rsidRPr="0032489B">
        <w:rPr>
          <w:noProof/>
          <w:vertAlign w:val="superscript"/>
        </w:rPr>
        <w:t>14</w:t>
      </w:r>
      <w:r w:rsidR="0023249C" w:rsidRPr="0045339C">
        <w:fldChar w:fldCharType="end"/>
      </w:r>
      <w:r>
        <w:t xml:space="preserve"> </w:t>
      </w:r>
    </w:p>
    <w:p w:rsidR="00D96840" w:rsidRDefault="0045339C" w:rsidP="00D96840">
      <w:pPr>
        <w:pStyle w:val="Heading1"/>
      </w:pPr>
      <w:r>
        <w:lastRenderedPageBreak/>
        <w:t xml:space="preserve">An Epidemic of </w:t>
      </w:r>
      <w:r w:rsidR="00D96840">
        <w:t>Bad Writing</w:t>
      </w:r>
    </w:p>
    <w:p w:rsidR="009575E7" w:rsidRDefault="0023249C" w:rsidP="0095325B">
      <w:r>
        <w:t>A</w:t>
      </w:r>
      <w:r w:rsidR="0022186B">
        <w:t xml:space="preserve">s an editor in medical </w:t>
      </w:r>
      <w:r w:rsidR="00A32BF3">
        <w:t>and academic</w:t>
      </w:r>
      <w:r w:rsidR="00841E24">
        <w:t xml:space="preserve"> publishing</w:t>
      </w:r>
      <w:r w:rsidR="0022186B">
        <w:t xml:space="preserve">, I have </w:t>
      </w:r>
      <w:r w:rsidR="009575E7">
        <w:t xml:space="preserve">seen the damage that the </w:t>
      </w:r>
      <w:r w:rsidR="0045339C">
        <w:t>neglect</w:t>
      </w:r>
      <w:r w:rsidR="009575E7">
        <w:t xml:space="preserve"> of grammar instruction has caused. </w:t>
      </w:r>
      <w:r w:rsidR="00D51A43">
        <w:t xml:space="preserve">Early in my career, I was shocked to discover that many medical doctors are terrible writers. Later on, I was even more shocked to discover that many people with a bachelor’s degree or even a master’s degree in English were also bad writers. Unfortunately, the bad writers </w:t>
      </w:r>
      <w:r w:rsidR="00A32BF3">
        <w:t xml:space="preserve">generally </w:t>
      </w:r>
      <w:r w:rsidR="00D51A43">
        <w:t xml:space="preserve">did not realize </w:t>
      </w:r>
      <w:r w:rsidR="00D51A43" w:rsidRPr="0028230E">
        <w:rPr>
          <w:i/>
        </w:rPr>
        <w:t>that</w:t>
      </w:r>
      <w:r w:rsidR="00D51A43">
        <w:t xml:space="preserve"> </w:t>
      </w:r>
      <w:r w:rsidR="0028230E">
        <w:t xml:space="preserve">their writing was bad, much less </w:t>
      </w:r>
      <w:r w:rsidR="0028230E" w:rsidRPr="0028230E">
        <w:rPr>
          <w:i/>
        </w:rPr>
        <w:t>why</w:t>
      </w:r>
      <w:r w:rsidR="0028230E">
        <w:t xml:space="preserve"> </w:t>
      </w:r>
      <w:r w:rsidR="00D51A43">
        <w:t xml:space="preserve">their writing was bad. As a result, they could not improve through </w:t>
      </w:r>
      <w:r w:rsidR="00BA665A">
        <w:t xml:space="preserve">mere </w:t>
      </w:r>
      <w:r w:rsidR="00D51A43">
        <w:t xml:space="preserve">practice. </w:t>
      </w:r>
    </w:p>
    <w:p w:rsidR="00C24D37" w:rsidRDefault="009575E7" w:rsidP="0095325B">
      <w:r>
        <w:t>B</w:t>
      </w:r>
      <w:r w:rsidR="00D51A43">
        <w:t>ad writers write badly for two simple reasons: they choose the wrong words</w:t>
      </w:r>
      <w:r w:rsidR="00841E24">
        <w:t>,</w:t>
      </w:r>
      <w:r w:rsidR="00D51A43">
        <w:t xml:space="preserve"> and </w:t>
      </w:r>
      <w:r w:rsidR="00F67A34">
        <w:t xml:space="preserve">they </w:t>
      </w:r>
      <w:r w:rsidR="00D51A43">
        <w:t xml:space="preserve">put their words in the wrong order. </w:t>
      </w:r>
      <w:r w:rsidR="00166DFB">
        <w:t>When bad writers write about commonplace subjects, readers can use their common sense to compensate for a writer’s sloppy word choice and nonsensical syntax; but when bad writers write about difficult topics</w:t>
      </w:r>
      <w:r w:rsidR="00841E24">
        <w:t>,</w:t>
      </w:r>
      <w:r w:rsidR="00166DFB">
        <w:t xml:space="preserve"> or topics that are simply unfamiliar to the reader, their bad writing is incomprehensible. </w:t>
      </w:r>
    </w:p>
    <w:p w:rsidR="00D51A43" w:rsidRDefault="00166DFB" w:rsidP="0095325B">
      <w:r>
        <w:t>Over the years, I worked out a simple method to help bad writers become competent writers</w:t>
      </w:r>
      <w:r w:rsidR="00D51A43">
        <w:t xml:space="preserve">. First, I teach </w:t>
      </w:r>
      <w:r>
        <w:t>the</w:t>
      </w:r>
      <w:r w:rsidR="00D51A43">
        <w:t xml:space="preserve"> person how to make full use of a dictionary. Then, I review the eight parts of speech and </w:t>
      </w:r>
      <w:r>
        <w:t xml:space="preserve">teach the person </w:t>
      </w:r>
      <w:r w:rsidR="00D51A43">
        <w:t xml:space="preserve">how to diagram sentences. Then, I </w:t>
      </w:r>
      <w:r w:rsidR="0028230E">
        <w:t xml:space="preserve">give the person a few pointers on word order and some general advice on how to organize an essay. This </w:t>
      </w:r>
      <w:r w:rsidR="000E6855">
        <w:t xml:space="preserve">simple, straightforward </w:t>
      </w:r>
      <w:r w:rsidR="0028230E">
        <w:t>method work</w:t>
      </w:r>
      <w:r>
        <w:t>s</w:t>
      </w:r>
      <w:r w:rsidR="0028230E">
        <w:t xml:space="preserve"> so well and so fast that I was </w:t>
      </w:r>
      <w:r w:rsidR="00841E24">
        <w:t xml:space="preserve">recruited </w:t>
      </w:r>
      <w:r w:rsidR="0028230E">
        <w:t xml:space="preserve">to write the grammar column for the </w:t>
      </w:r>
      <w:r w:rsidR="0028230E" w:rsidRPr="0028230E">
        <w:rPr>
          <w:i/>
        </w:rPr>
        <w:t>American Medical Writers Association Journal</w:t>
      </w:r>
      <w:r w:rsidR="00DA3DE0">
        <w:t>.</w:t>
      </w:r>
    </w:p>
    <w:p w:rsidR="005A2442" w:rsidRDefault="005A2442" w:rsidP="0095325B">
      <w:r>
        <w:t>When I offered to let the English teachers in my local school district use my grammar columns</w:t>
      </w:r>
      <w:r w:rsidR="00B33D1A">
        <w:t xml:space="preserve"> </w:t>
      </w:r>
      <w:r w:rsidR="00841E24">
        <w:t>without charge</w:t>
      </w:r>
      <w:r>
        <w:t xml:space="preserve">, </w:t>
      </w:r>
      <w:r w:rsidR="00F67A34">
        <w:t xml:space="preserve">as course materials, </w:t>
      </w:r>
      <w:r>
        <w:t>I was told that the school</w:t>
      </w:r>
      <w:r w:rsidR="00BA665A">
        <w:t>s</w:t>
      </w:r>
      <w:r>
        <w:t xml:space="preserve"> did not </w:t>
      </w:r>
      <w:r w:rsidR="00AB4087">
        <w:t xml:space="preserve">teach grammar </w:t>
      </w:r>
      <w:r>
        <w:t xml:space="preserve">because </w:t>
      </w:r>
      <w:r w:rsidR="00AB4087">
        <w:t xml:space="preserve">grammar lessons are </w:t>
      </w:r>
      <w:r>
        <w:t xml:space="preserve">a waste of time and probably harmful. Yet </w:t>
      </w:r>
      <w:r w:rsidR="00166DFB">
        <w:t xml:space="preserve">how could </w:t>
      </w:r>
      <w:r w:rsidR="00C23C41">
        <w:t xml:space="preserve">one </w:t>
      </w:r>
      <w:r w:rsidR="00166DFB">
        <w:t xml:space="preserve">possibly </w:t>
      </w:r>
      <w:r>
        <w:t>teach people how</w:t>
      </w:r>
      <w:r w:rsidR="00395C61">
        <w:t xml:space="preserve"> to stop misplacing or dangling their participles without telling them what a participle is, or explaining what </w:t>
      </w:r>
      <w:r w:rsidR="00BA665A">
        <w:t xml:space="preserve">a modifier is, or </w:t>
      </w:r>
      <w:r w:rsidR="0073168E">
        <w:t xml:space="preserve">giving them some rules of thumb for </w:t>
      </w:r>
      <w:r w:rsidR="00BA665A">
        <w:t xml:space="preserve">where the modifiers </w:t>
      </w:r>
      <w:r w:rsidR="00166DFB">
        <w:t xml:space="preserve">should </w:t>
      </w:r>
      <w:r w:rsidR="0073168E">
        <w:t xml:space="preserve">and should not </w:t>
      </w:r>
      <w:r w:rsidR="00BA665A">
        <w:t>be placed</w:t>
      </w:r>
      <w:r w:rsidR="004E5E71">
        <w:t>?</w:t>
      </w:r>
      <w:r w:rsidR="00395C61">
        <w:t xml:space="preserve"> </w:t>
      </w:r>
      <w:r w:rsidR="00DA3DE0">
        <w:t xml:space="preserve">To explain why grammar lessons are important, I wrote my book </w:t>
      </w:r>
      <w:r w:rsidR="00DA3DE0" w:rsidRPr="00DA3DE0">
        <w:rPr>
          <w:i/>
        </w:rPr>
        <w:t xml:space="preserve">Not Trivial: How Studying the Traditional Liberal Arts Can Set You </w:t>
      </w:r>
      <w:proofErr w:type="spellStart"/>
      <w:r w:rsidR="00DA3DE0" w:rsidRPr="00DA3DE0">
        <w:rPr>
          <w:i/>
        </w:rPr>
        <w:t>Free</w:t>
      </w:r>
      <w:r w:rsidR="00DA3DE0">
        <w:t>.</w:t>
      </w:r>
      <w:proofErr w:type="spellEnd"/>
      <w:r w:rsidR="00C23C41">
        <w:fldChar w:fldCharType="begin"/>
      </w:r>
      <w:r w:rsidR="0032489B">
        <w:instrText xml:space="preserve"> ADDIN EN.CITE &lt;EndNote&gt;&lt;Cite&gt;&lt;Author&gt;Thomas&lt;/Author&gt;&lt;Year&gt;2013&lt;/Year&gt;&lt;RecNum&gt;11&lt;/RecNum&gt;&lt;DisplayText&gt;&lt;style face="superscript"&gt;15&lt;/style&gt;&lt;/DisplayText&gt;&lt;record&gt;&lt;rec-number&gt;11&lt;/rec-number&gt;&lt;foreign-keys&gt;&lt;key app="EN" db-id="9ves2s0pu2tef1es29rxevzyxrrw20xrsf9f" timestamp="1489513855"&gt;11&lt;/key&gt;&lt;/foreign-keys&gt;&lt;ref-type name="Book"&gt;6&lt;/ref-type&gt;&lt;contributors&gt;&lt;authors&gt;&lt;author&gt;Thomas, L.E.&lt;/author&gt;&lt;/authors&gt;&lt;/contributors&gt;&lt;titles&gt;&lt;title&gt;Not Trivial: How Studying the Traditional Liberal Arts Can Set You Free&lt;/title&gt;&lt;/titles&gt;&lt;dates&gt;&lt;year&gt;2013&lt;/year&gt;&lt;/dates&gt;&lt;pub-location&gt;DeKalb, IL&lt;/pub-location&gt;&lt;publisher&gt;Freedom of Speech Publishing&lt;/publisher&gt;&lt;urls&gt;&lt;/urls&gt;&lt;/record&gt;&lt;/Cite&gt;&lt;/EndNote&gt;</w:instrText>
      </w:r>
      <w:r w:rsidR="00C23C41">
        <w:fldChar w:fldCharType="separate"/>
      </w:r>
      <w:r w:rsidR="0032489B" w:rsidRPr="0032489B">
        <w:rPr>
          <w:noProof/>
          <w:vertAlign w:val="superscript"/>
        </w:rPr>
        <w:t>15</w:t>
      </w:r>
      <w:r w:rsidR="00C23C41">
        <w:fldChar w:fldCharType="end"/>
      </w:r>
      <w:r w:rsidR="00DA3DE0">
        <w:t xml:space="preserve"> Grammar is one of the seven classical liberal arts. It is the first leg of the trivium of grammar, logic, and rhetoric. </w:t>
      </w:r>
      <w:r w:rsidR="00166DFB">
        <w:t xml:space="preserve">These three subjects </w:t>
      </w:r>
      <w:r w:rsidR="00841E24">
        <w:t xml:space="preserve">must </w:t>
      </w:r>
      <w:r w:rsidR="00166DFB">
        <w:t>be taught in that order. By studying grammar, you learn lessons that you need to master before you can study logic. By studying logic, you learn lessons that you need to master before you can study rhetoric.</w:t>
      </w:r>
      <w:r w:rsidR="00DA3DE0">
        <w:t xml:space="preserve"> </w:t>
      </w:r>
    </w:p>
    <w:p w:rsidR="00D96840" w:rsidRDefault="00F67A34" w:rsidP="00D96840">
      <w:pPr>
        <w:pStyle w:val="Heading1"/>
      </w:pPr>
      <w:r>
        <w:t xml:space="preserve">Bad Grammar, </w:t>
      </w:r>
      <w:r w:rsidR="00D96840">
        <w:t>Bad Thinking</w:t>
      </w:r>
    </w:p>
    <w:p w:rsidR="003318E2" w:rsidRDefault="00F77A17" w:rsidP="00395C61">
      <w:r>
        <w:t>T</w:t>
      </w:r>
      <w:r w:rsidR="00395C61">
        <w:t>he problems that result from ignorance of grammar go far beyond bad writing. In his excellent book</w:t>
      </w:r>
      <w:r w:rsidR="0028230E">
        <w:t xml:space="preserve"> </w:t>
      </w:r>
      <w:r w:rsidR="003318E2" w:rsidRPr="0028230E">
        <w:rPr>
          <w:i/>
        </w:rPr>
        <w:t>The War Against Grammar</w:t>
      </w:r>
      <w:r w:rsidR="003318E2">
        <w:t xml:space="preserve">, </w:t>
      </w:r>
      <w:r w:rsidR="00395C61">
        <w:t xml:space="preserve">classicist David Mulroy explains that the neglect of grammar lessons in public schools </w:t>
      </w:r>
      <w:r w:rsidR="003318E2">
        <w:t xml:space="preserve">can explain some of the peculiarities of American political </w:t>
      </w:r>
      <w:proofErr w:type="spellStart"/>
      <w:r w:rsidR="003318E2">
        <w:t>life.</w:t>
      </w:r>
      <w:proofErr w:type="spellEnd"/>
      <w:r w:rsidR="00C23C41">
        <w:fldChar w:fldCharType="begin"/>
      </w:r>
      <w:r w:rsidR="0032489B">
        <w:instrText xml:space="preserve"> ADDIN EN.CITE &lt;EndNote&gt;&lt;Cite&gt;&lt;Author&gt;Mulroy&lt;/Author&gt;&lt;Year&gt;2003&lt;/Year&gt;&lt;RecNum&gt;12&lt;/RecNum&gt;&lt;DisplayText&gt;&lt;style face="superscript"&gt;16&lt;/style&gt;&lt;/DisplayText&gt;&lt;record&gt;&lt;rec-number&gt;12&lt;/rec-number&gt;&lt;foreign-keys&gt;&lt;key app="EN" db-id="9ves2s0pu2tef1es29rxevzyxrrw20xrsf9f" timestamp="1489514046"&gt;12&lt;/key&gt;&lt;/foreign-keys&gt;&lt;ref-type name="Book"&gt;6&lt;/ref-type&gt;&lt;contributors&gt;&lt;authors&gt;&lt;author&gt;Mulroy, D.&lt;/author&gt;&lt;/authors&gt;&lt;/contributors&gt;&lt;titles&gt;&lt;title&gt;The War Against Grammar&lt;/title&gt;&lt;/titles&gt;&lt;dates&gt;&lt;year&gt;2003&lt;/year&gt;&lt;/dates&gt;&lt;pub-location&gt;Portsmouth, NH&lt;/pub-location&gt;&lt;publisher&gt;Boynton/Cook Publishers&lt;/publisher&gt;&lt;urls&gt;&lt;/urls&gt;&lt;/record&gt;&lt;/Cite&gt;&lt;/EndNote&gt;</w:instrText>
      </w:r>
      <w:r w:rsidR="00C23C41">
        <w:fldChar w:fldCharType="separate"/>
      </w:r>
      <w:r w:rsidR="0032489B" w:rsidRPr="0032489B">
        <w:rPr>
          <w:noProof/>
          <w:vertAlign w:val="superscript"/>
        </w:rPr>
        <w:t>16</w:t>
      </w:r>
      <w:r w:rsidR="00C23C41">
        <w:fldChar w:fldCharType="end"/>
      </w:r>
      <w:r w:rsidR="003318E2">
        <w:t xml:space="preserve"> Because of their lack of </w:t>
      </w:r>
      <w:r w:rsidR="001143D5">
        <w:t xml:space="preserve">training in grammar, many Americans find it hard to </w:t>
      </w:r>
      <w:r w:rsidR="003318E2">
        <w:t xml:space="preserve">understand the literal meaning of any complicated sentence. </w:t>
      </w:r>
      <w:r w:rsidR="00395C61">
        <w:t xml:space="preserve">So instead of </w:t>
      </w:r>
      <w:r w:rsidR="00841E24">
        <w:t xml:space="preserve">addressing the literal meaning of </w:t>
      </w:r>
      <w:r w:rsidR="00395C61">
        <w:t xml:space="preserve">what someone else has actually said or written, many people </w:t>
      </w:r>
      <w:r w:rsidR="001143D5">
        <w:t xml:space="preserve">they tend to free-associate on some of the more colorful words that </w:t>
      </w:r>
      <w:r w:rsidR="00841E24">
        <w:t xml:space="preserve">the person </w:t>
      </w:r>
      <w:r w:rsidR="001143D5">
        <w:t xml:space="preserve">used. </w:t>
      </w:r>
      <w:r w:rsidR="00395C61">
        <w:t xml:space="preserve">In </w:t>
      </w:r>
      <w:r w:rsidR="00DA3DE0">
        <w:t xml:space="preserve">my book </w:t>
      </w:r>
      <w:r w:rsidR="00395C61" w:rsidRPr="00DA3DE0">
        <w:rPr>
          <w:i/>
        </w:rPr>
        <w:t>Don’t Feed the Narcissists!</w:t>
      </w:r>
      <w:r w:rsidR="00395C61">
        <w:t xml:space="preserve"> I explain that </w:t>
      </w:r>
      <w:r w:rsidR="00841E24">
        <w:t xml:space="preserve">such </w:t>
      </w:r>
      <w:r w:rsidR="001143D5">
        <w:t xml:space="preserve">loosening of associations </w:t>
      </w:r>
      <w:r w:rsidR="00395C61">
        <w:t xml:space="preserve">is </w:t>
      </w:r>
      <w:r w:rsidR="001143D5">
        <w:t xml:space="preserve">a feature of </w:t>
      </w:r>
      <w:r w:rsidR="00155AB6">
        <w:t xml:space="preserve">some major </w:t>
      </w:r>
      <w:r w:rsidR="001143D5">
        <w:t>mental illness</w:t>
      </w:r>
      <w:r w:rsidR="00155AB6">
        <w:t>es</w:t>
      </w:r>
      <w:r w:rsidR="001143D5">
        <w:t xml:space="preserve">, such as schizotypal personality disorder </w:t>
      </w:r>
      <w:r w:rsidR="00155AB6">
        <w:t xml:space="preserve">and </w:t>
      </w:r>
      <w:proofErr w:type="spellStart"/>
      <w:r w:rsidR="001143D5">
        <w:t>schizophrenia.</w:t>
      </w:r>
      <w:proofErr w:type="spellEnd"/>
      <w:r w:rsidR="00C23C41">
        <w:fldChar w:fldCharType="begin"/>
      </w:r>
      <w:r w:rsidR="0032489B">
        <w:instrText xml:space="preserve"> ADDIN EN.CITE &lt;EndNote&gt;&lt;Cite&gt;&lt;Author&gt;Thomas&lt;/Author&gt;&lt;Year&gt;2016&lt;/Year&gt;&lt;RecNum&gt;13&lt;/RecNum&gt;&lt;DisplayText&gt;&lt;style face="superscript"&gt;17&lt;/style&gt;&lt;/DisplayText&gt;&lt;record&gt;&lt;rec-number&gt;13&lt;/rec-number&gt;&lt;foreign-keys&gt;&lt;key app="EN" db-id="9ves2s0pu2tef1es29rxevzyxrrw20xrsf9f" timestamp="1489514116"&gt;13&lt;/key&gt;&lt;/foreign-keys&gt;&lt;ref-type name="Book"&gt;6&lt;/ref-type&gt;&lt;contributors&gt;&lt;authors&gt;&lt;author&gt;Thomas, L.E.&lt;/author&gt;&lt;/authors&gt;&lt;/contributors&gt;&lt;titles&gt;&lt;title&gt;Don&amp;apos;t Feed the Narcissists! The Mythology and Science of Mental Health&lt;/title&gt;&lt;/titles&gt;&lt;dates&gt;&lt;year&gt;2016&lt;/year&gt;&lt;/dates&gt;&lt;pub-location&gt;Chatham, NJ&lt;/pub-location&gt;&lt;publisher&gt;Kermit Press&lt;/publisher&gt;&lt;urls&gt;&lt;/urls&gt;&lt;/record&gt;&lt;/Cite&gt;&lt;/EndNote&gt;</w:instrText>
      </w:r>
      <w:r w:rsidR="00C23C41">
        <w:fldChar w:fldCharType="separate"/>
      </w:r>
      <w:r w:rsidR="0032489B" w:rsidRPr="0032489B">
        <w:rPr>
          <w:noProof/>
          <w:vertAlign w:val="superscript"/>
        </w:rPr>
        <w:t>17</w:t>
      </w:r>
      <w:r w:rsidR="00C23C41">
        <w:fldChar w:fldCharType="end"/>
      </w:r>
      <w:r w:rsidR="001143D5">
        <w:t xml:space="preserve"> Thus, people who have been deprived of grammar lessons may end up sounding crazy, even if </w:t>
      </w:r>
      <w:r>
        <w:t>their brain is biologically normal</w:t>
      </w:r>
      <w:r w:rsidR="001143D5">
        <w:t>.</w:t>
      </w:r>
    </w:p>
    <w:p w:rsidR="00D90AF8" w:rsidRDefault="00D90AF8" w:rsidP="00D90AF8">
      <w:r>
        <w:lastRenderedPageBreak/>
        <w:t xml:space="preserve">Most parents worry that a poor education in K-12 could prevent a child from getting into college. Yet academic child abuse has had noticeable effects even among </w:t>
      </w:r>
      <w:r w:rsidR="004E5E71">
        <w:t xml:space="preserve">some </w:t>
      </w:r>
      <w:r>
        <w:t xml:space="preserve">college faculties. </w:t>
      </w:r>
      <w:r w:rsidR="00B56C24">
        <w:t xml:space="preserve">The postmodernist movement, in particular, </w:t>
      </w:r>
      <w:r w:rsidR="004E5E71">
        <w:t xml:space="preserve">has </w:t>
      </w:r>
      <w:r w:rsidR="00B56C24">
        <w:t xml:space="preserve">produced a </w:t>
      </w:r>
      <w:r w:rsidR="00643FAE">
        <w:t xml:space="preserve">flood of supposedly scholarly prose </w:t>
      </w:r>
      <w:r w:rsidR="007E38C1">
        <w:t xml:space="preserve">that is </w:t>
      </w:r>
      <w:r w:rsidR="004E5E71">
        <w:t xml:space="preserve">often </w:t>
      </w:r>
      <w:r w:rsidR="00B56C24">
        <w:t>unreadable</w:t>
      </w:r>
      <w:r w:rsidR="009C6561">
        <w:t>,</w:t>
      </w:r>
      <w:r w:rsidR="00B56C24">
        <w:t xml:space="preserve"> possibly meaningless</w:t>
      </w:r>
      <w:r w:rsidR="009C6561">
        <w:t xml:space="preserve">, and </w:t>
      </w:r>
      <w:r w:rsidR="00F67A34">
        <w:t xml:space="preserve">occasionally </w:t>
      </w:r>
      <w:proofErr w:type="spellStart"/>
      <w:r w:rsidR="009C6561">
        <w:t>ludicrous</w:t>
      </w:r>
      <w:r w:rsidR="00B56C24">
        <w:t>.</w:t>
      </w:r>
      <w:proofErr w:type="spellEnd"/>
      <w:r w:rsidR="005770E9">
        <w:fldChar w:fldCharType="begin"/>
      </w:r>
      <w:r w:rsidR="0032489B">
        <w:instrText xml:space="preserve"> ADDIN EN.CITE &lt;EndNote&gt;&lt;Cite&gt;&lt;Author&gt;Sokal&lt;/Author&gt;&lt;Year&gt;2008&lt;/Year&gt;&lt;RecNum&gt;18&lt;/RecNum&gt;&lt;DisplayText&gt;&lt;style face="superscript"&gt;18&lt;/style&gt;&lt;/DisplayText&gt;&lt;record&gt;&lt;rec-number&gt;18&lt;/rec-number&gt;&lt;foreign-keys&gt;&lt;key app="EN" db-id="9ves2s0pu2tef1es29rxevzyxrrw20xrsf9f" timestamp="1490386812"&gt;18&lt;/key&gt;&lt;/foreign-keys&gt;&lt;ref-type name="Book"&gt;6&lt;/ref-type&gt;&lt;contributors&gt;&lt;authors&gt;&lt;author&gt;Sokal, A.&lt;/author&gt;&lt;/authors&gt;&lt;/contributors&gt;&lt;titles&gt;&lt;title&gt;Beyond the Hoax: Science, Philosophy and Culture&lt;/title&gt;&lt;/titles&gt;&lt;dates&gt;&lt;year&gt;2008&lt;/year&gt;&lt;/dates&gt;&lt;pub-location&gt;New York, NY&lt;/pub-location&gt;&lt;publisher&gt;Oxford University Press&lt;/publisher&gt;&lt;urls&gt;&lt;/urls&gt;&lt;/record&gt;&lt;/Cite&gt;&lt;/EndNote&gt;</w:instrText>
      </w:r>
      <w:r w:rsidR="005770E9">
        <w:fldChar w:fldCharType="separate"/>
      </w:r>
      <w:r w:rsidR="0032489B" w:rsidRPr="0032489B">
        <w:rPr>
          <w:noProof/>
          <w:vertAlign w:val="superscript"/>
        </w:rPr>
        <w:t>18</w:t>
      </w:r>
      <w:r w:rsidR="005770E9">
        <w:fldChar w:fldCharType="end"/>
      </w:r>
      <w:r w:rsidR="00B56C24">
        <w:t xml:space="preserve"> </w:t>
      </w:r>
      <w:r w:rsidR="005770E9">
        <w:t xml:space="preserve">The poor quality of much of this work results from a simple underlying problem: </w:t>
      </w:r>
      <w:r w:rsidR="0035378A">
        <w:t>lack of training in metaphysics.</w:t>
      </w:r>
      <w:r w:rsidR="00517D6B">
        <w:t xml:space="preserve"> </w:t>
      </w:r>
      <w:r w:rsidR="004E5E71">
        <w:t>Specifically, m</w:t>
      </w:r>
      <w:r w:rsidR="00517D6B">
        <w:t xml:space="preserve">uch of this work is riddled with silly mistakes with regard to ontology, epistemology, causality, and so </w:t>
      </w:r>
      <w:proofErr w:type="spellStart"/>
      <w:r w:rsidR="00517D6B">
        <w:t>on.</w:t>
      </w:r>
      <w:proofErr w:type="spellEnd"/>
      <w:r w:rsidR="004E5E71">
        <w:fldChar w:fldCharType="begin"/>
      </w:r>
      <w:r w:rsidR="0032489B">
        <w:instrText xml:space="preserve"> ADDIN EN.CITE &lt;EndNote&gt;&lt;Cite&gt;&lt;Author&gt;Sokal&lt;/Author&gt;&lt;Year&gt;2008&lt;/Year&gt;&lt;RecNum&gt;18&lt;/RecNum&gt;&lt;DisplayText&gt;&lt;style face="superscript"&gt;18&lt;/style&gt;&lt;/DisplayText&gt;&lt;record&gt;&lt;rec-number&gt;18&lt;/rec-number&gt;&lt;foreign-keys&gt;&lt;key app="EN" db-id="9ves2s0pu2tef1es29rxevzyxrrw20xrsf9f" timestamp="1490386812"&gt;18&lt;/key&gt;&lt;/foreign-keys&gt;&lt;ref-type name="Book"&gt;6&lt;/ref-type&gt;&lt;contributors&gt;&lt;authors&gt;&lt;author&gt;Sokal, A.&lt;/author&gt;&lt;/authors&gt;&lt;/contributors&gt;&lt;titles&gt;&lt;title&gt;Beyond the Hoax: Science, Philosophy and Culture&lt;/title&gt;&lt;/titles&gt;&lt;dates&gt;&lt;year&gt;2008&lt;/year&gt;&lt;/dates&gt;&lt;pub-location&gt;New York, NY&lt;/pub-location&gt;&lt;publisher&gt;Oxford University Press&lt;/publisher&gt;&lt;urls&gt;&lt;/urls&gt;&lt;/record&gt;&lt;/Cite&gt;&lt;/EndNote&gt;</w:instrText>
      </w:r>
      <w:r w:rsidR="004E5E71">
        <w:fldChar w:fldCharType="separate"/>
      </w:r>
      <w:r w:rsidR="0032489B" w:rsidRPr="0032489B">
        <w:rPr>
          <w:noProof/>
          <w:vertAlign w:val="superscript"/>
        </w:rPr>
        <w:t>18</w:t>
      </w:r>
      <w:r w:rsidR="004E5E71">
        <w:fldChar w:fldCharType="end"/>
      </w:r>
    </w:p>
    <w:p w:rsidR="00D96840" w:rsidRDefault="00D96840" w:rsidP="00D96840">
      <w:pPr>
        <w:pStyle w:val="Heading1"/>
      </w:pPr>
      <w:r>
        <w:t>Grammar Makes Us Human</w:t>
      </w:r>
    </w:p>
    <w:p w:rsidR="00152531" w:rsidRDefault="001143D5" w:rsidP="0028230E">
      <w:r>
        <w:t xml:space="preserve">Many </w:t>
      </w:r>
      <w:r w:rsidR="00377D2A">
        <w:t>educators</w:t>
      </w:r>
      <w:r>
        <w:t xml:space="preserve"> dismiss grammar as just a bunch of pointless rules </w:t>
      </w:r>
      <w:r w:rsidR="00353B71">
        <w:t xml:space="preserve">that are important only to persnickety people like me. </w:t>
      </w:r>
      <w:r>
        <w:t xml:space="preserve">Yet the ability to understand and apply grammatical principles is the thin bright line that divides human beings from all other living species. It explains why human beings can talk but chimpanzees cannot, not even in sign </w:t>
      </w:r>
      <w:proofErr w:type="spellStart"/>
      <w:r>
        <w:t>language.</w:t>
      </w:r>
      <w:proofErr w:type="spellEnd"/>
      <w:r w:rsidR="00BC1C37">
        <w:fldChar w:fldCharType="begin"/>
      </w:r>
      <w:r w:rsidR="0032489B">
        <w:instrText xml:space="preserve"> ADDIN EN.CITE &lt;EndNote&gt;&lt;Cite&gt;&lt;Author&gt;Yang&lt;/Author&gt;&lt;Year&gt;2013&lt;/Year&gt;&lt;RecNum&gt;14&lt;/RecNum&gt;&lt;DisplayText&gt;&lt;style face="superscript"&gt;19&lt;/style&gt;&lt;/DisplayText&gt;&lt;record&gt;&lt;rec-number&gt;14&lt;/rec-number&gt;&lt;foreign-keys&gt;&lt;key app="EN" db-id="9ves2s0pu2tef1es29rxevzyxrrw20xrsf9f" timestamp="1489514690"&gt;14&lt;/key&gt;&lt;/foreign-keys&gt;&lt;ref-type name="Journal Article"&gt;17&lt;/ref-type&gt;&lt;contributors&gt;&lt;authors&gt;&lt;author&gt;Yang, C.&lt;/author&gt;&lt;/authors&gt;&lt;/contributors&gt;&lt;titles&gt;&lt;title&gt;Ontogeny and phylogeny of language&lt;/title&gt;&lt;secondary-title&gt;Proceedings of the National Academy of Sciences&lt;/secondary-title&gt;&lt;/titles&gt;&lt;periodical&gt;&lt;full-title&gt;Proceedings of the National Academy of Sciences&lt;/full-title&gt;&lt;/periodical&gt;&lt;pages&gt;6324-6327&lt;/pages&gt;&lt;volume&gt;110&lt;/volume&gt;&lt;number&gt;16&lt;/number&gt;&lt;dates&gt;&lt;year&gt;2013&lt;/year&gt;&lt;/dates&gt;&lt;urls&gt;&lt;/urls&gt;&lt;electronic-resource-num&gt;10.1073/pnas.1216803110&lt;/electronic-resource-num&gt;&lt;/record&gt;&lt;/Cite&gt;&lt;/EndNote&gt;</w:instrText>
      </w:r>
      <w:r w:rsidR="00BC1C37">
        <w:fldChar w:fldCharType="separate"/>
      </w:r>
      <w:r w:rsidR="0032489B" w:rsidRPr="0032489B">
        <w:rPr>
          <w:noProof/>
          <w:vertAlign w:val="superscript"/>
        </w:rPr>
        <w:t>19</w:t>
      </w:r>
      <w:r w:rsidR="00BC1C37">
        <w:fldChar w:fldCharType="end"/>
      </w:r>
      <w:r>
        <w:t xml:space="preserve"> </w:t>
      </w:r>
      <w:r w:rsidR="00C333C6">
        <w:t xml:space="preserve">It also explains why human beings can reason in ways that no other animal can. Chimpanzees cannot express subject-verb-object </w:t>
      </w:r>
      <w:r w:rsidR="00643FAE">
        <w:t>transactions</w:t>
      </w:r>
      <w:r w:rsidR="00C333C6">
        <w:t xml:space="preserve">. Nor can they express the mood of a verb. Thus, even if you taught them signs that you think mean “Laurie,” “banana,” and “give,” no chimpanzee can ever tell you, “Laurie gave me two bananas yesterday.” </w:t>
      </w:r>
      <w:r w:rsidR="001613C0">
        <w:t>Chimpanzees cannot grasp the mood of verbs. Thus, n</w:t>
      </w:r>
      <w:r w:rsidR="00C333C6">
        <w:t xml:space="preserve">o chimpanzee </w:t>
      </w:r>
      <w:r w:rsidR="001613C0">
        <w:t xml:space="preserve">can understand the “is-ought” distinction or </w:t>
      </w:r>
      <w:r w:rsidR="00C333C6">
        <w:t xml:space="preserve">say, “I would gladly pay you </w:t>
      </w:r>
      <w:r w:rsidR="001613C0">
        <w:t>Tuesday for some bananas today.”</w:t>
      </w:r>
    </w:p>
    <w:p w:rsidR="00F77A17" w:rsidRDefault="00462ECE" w:rsidP="0028230E">
      <w:r>
        <w:t>The study of grammar provides the fundamental concepts that you will need</w:t>
      </w:r>
      <w:r w:rsidR="004E7478">
        <w:t xml:space="preserve"> for studying logic and ethics. In Aristotelian logic, a proposition is a sentence that affirms or denies a predicate of a subject. </w:t>
      </w:r>
      <w:r w:rsidR="00F77A17">
        <w:t xml:space="preserve">Thus, the verb in the predicate must be in the indicative mood. </w:t>
      </w:r>
      <w:r w:rsidR="004E7478">
        <w:t xml:space="preserve">The logical operators are mainly conjunctions, except for </w:t>
      </w:r>
      <w:r w:rsidR="004E7478" w:rsidRPr="004E7478">
        <w:rPr>
          <w:i/>
        </w:rPr>
        <w:t>not</w:t>
      </w:r>
      <w:r w:rsidR="004E7478">
        <w:t>, which is an adverb. The study of ethics deals with other kinds of grammatical concepts, such as the person of pronouns (e.g., I and thou</w:t>
      </w:r>
      <w:r w:rsidR="00F77A17">
        <w:t>, us and them</w:t>
      </w:r>
      <w:r w:rsidR="004E7478">
        <w:t xml:space="preserve">). It also involves </w:t>
      </w:r>
      <w:r w:rsidR="00C66DD4">
        <w:t xml:space="preserve">predicates </w:t>
      </w:r>
      <w:r w:rsidR="004E7478">
        <w:t xml:space="preserve">with a verb with deontic modality. In fact, the difference between </w:t>
      </w:r>
      <w:r w:rsidR="00353B71">
        <w:t xml:space="preserve">laws of nature and natural law is a matter of the grammatical mood of </w:t>
      </w:r>
      <w:r w:rsidR="00B33D1A">
        <w:t xml:space="preserve">the </w:t>
      </w:r>
      <w:r w:rsidR="00353B71">
        <w:t>verbs.</w:t>
      </w:r>
    </w:p>
    <w:p w:rsidR="00D96840" w:rsidRDefault="00D96840" w:rsidP="00D96840">
      <w:pPr>
        <w:pStyle w:val="Heading1"/>
      </w:pPr>
      <w:r>
        <w:t>A Classical Education</w:t>
      </w:r>
    </w:p>
    <w:p w:rsidR="00B07FE1" w:rsidRDefault="00722731" w:rsidP="00722731">
      <w:r>
        <w:t xml:space="preserve">The seven classical liberal arts (grammar, logic, rhetoric, mathematics, geometry, music, and astronomy) were intended to provide the basic intellectual skills that one needs in order to study practically anything else. To be able to make sense of the world, students also need some training in the humanities (e.g., history, philosophy, languages, literature, and art) and the </w:t>
      </w:r>
      <w:r w:rsidR="00643FAE">
        <w:t xml:space="preserve">physical and social </w:t>
      </w:r>
      <w:r w:rsidR="00152531">
        <w:t xml:space="preserve">sciences. Yet before students can begin to study </w:t>
      </w:r>
      <w:r w:rsidR="003E11CC">
        <w:t>any of those</w:t>
      </w:r>
      <w:r w:rsidR="00152531">
        <w:t xml:space="preserve"> subjects, they must learn to read.</w:t>
      </w:r>
    </w:p>
    <w:p w:rsidR="00697F4D" w:rsidRDefault="00C66DD4" w:rsidP="00722731">
      <w:r>
        <w:t>I</w:t>
      </w:r>
      <w:r w:rsidR="00AE7D07">
        <w:t xml:space="preserve">f you want to be effective as a teacher, at any level from second grade to graduate school, you must </w:t>
      </w:r>
      <w:r w:rsidR="004A24B4">
        <w:t xml:space="preserve">consider the possibility that </w:t>
      </w:r>
      <w:r w:rsidR="00AE22B3">
        <w:t xml:space="preserve">at least some of </w:t>
      </w:r>
      <w:r w:rsidR="004A24B4">
        <w:t xml:space="preserve">your students are victims of academic child abuse. They may lack the fundamental knowledge and skills </w:t>
      </w:r>
      <w:r w:rsidR="00643FAE">
        <w:t xml:space="preserve">that </w:t>
      </w:r>
      <w:r>
        <w:t xml:space="preserve">you </w:t>
      </w:r>
      <w:r w:rsidR="00643FAE">
        <w:t xml:space="preserve">may have </w:t>
      </w:r>
      <w:r>
        <w:t xml:space="preserve">assumed that they would have. </w:t>
      </w:r>
      <w:r w:rsidR="00155AB6">
        <w:t>Thus, y</w:t>
      </w:r>
      <w:r w:rsidR="004A24B4">
        <w:t xml:space="preserve">ou may have to backtrack and teach some of </w:t>
      </w:r>
      <w:r w:rsidR="00330E5D">
        <w:t xml:space="preserve">that </w:t>
      </w:r>
      <w:r w:rsidR="004A24B4">
        <w:t xml:space="preserve">foundational </w:t>
      </w:r>
      <w:r w:rsidR="00AE22B3">
        <w:t>material</w:t>
      </w:r>
      <w:r w:rsidR="004A24B4">
        <w:t xml:space="preserve">, so that your students will be able to master at least some of the material you intended to teach, rather than failing to learn </w:t>
      </w:r>
      <w:r w:rsidR="003E11CC">
        <w:t>anything at all</w:t>
      </w:r>
      <w:r w:rsidR="004A24B4">
        <w:t>.</w:t>
      </w:r>
      <w:r w:rsidR="00AE22B3">
        <w:t xml:space="preserve"> The other </w:t>
      </w:r>
      <w:r w:rsidR="00330E5D">
        <w:t xml:space="preserve">practical implication </w:t>
      </w:r>
      <w:r w:rsidR="00AE22B3">
        <w:t>is that if you want to promote any of the social causes that Russell championed, you must pay careful attention to what is going on in the public schools.</w:t>
      </w:r>
      <w:r w:rsidR="00330E5D">
        <w:t xml:space="preserve"> </w:t>
      </w:r>
      <w:r>
        <w:t xml:space="preserve">The dumbing down of the schools was no accident. </w:t>
      </w:r>
      <w:r w:rsidR="009F3CD8">
        <w:t xml:space="preserve">Any attempt at real reform will be resisted </w:t>
      </w:r>
      <w:r w:rsidR="00643FAE">
        <w:t xml:space="preserve">fiercely, but </w:t>
      </w:r>
      <w:r w:rsidR="009F3CD8">
        <w:t>in a plausibly deniable way.</w:t>
      </w:r>
    </w:p>
    <w:p w:rsidR="00D96840" w:rsidRDefault="00D96840" w:rsidP="00D96840">
      <w:pPr>
        <w:pStyle w:val="Heading1"/>
      </w:pPr>
      <w:r>
        <w:lastRenderedPageBreak/>
        <w:t>Conclusion</w:t>
      </w:r>
    </w:p>
    <w:p w:rsidR="0023249C" w:rsidRDefault="00BC1C37" w:rsidP="00722731">
      <w:r>
        <w:t>If we wish to help other people appreciat</w:t>
      </w:r>
      <w:r w:rsidR="00AE22B3">
        <w:t>e the works of Bertrand Russell</w:t>
      </w:r>
      <w:r>
        <w:t xml:space="preserve"> and to promote the causes that he </w:t>
      </w:r>
      <w:r w:rsidR="00722731">
        <w:t xml:space="preserve">promoted, then we must work against the academic child abuse that has become commonplace within the public schools in the United States. We must ensure that </w:t>
      </w:r>
      <w:r w:rsidR="00330E5D">
        <w:t xml:space="preserve">all </w:t>
      </w:r>
      <w:r w:rsidR="00722731">
        <w:t xml:space="preserve">children are being taught the foundational skills and knowledge that are </w:t>
      </w:r>
      <w:r w:rsidR="00330E5D">
        <w:t xml:space="preserve">essential for meaningful participation in democratic politics but that are being neglected or </w:t>
      </w:r>
      <w:r w:rsidR="00722731">
        <w:t>deliberately suppressed within many public schools today.</w:t>
      </w:r>
      <w:r w:rsidR="00D96840">
        <w:t xml:space="preserve"> </w:t>
      </w:r>
      <w:r w:rsidR="0073168E">
        <w:t>Yet to achieve that goal, we must struggle against the legacy of John Dewey.</w:t>
      </w:r>
    </w:p>
    <w:p w:rsidR="00F77A17" w:rsidRPr="00F77A17" w:rsidRDefault="00F77A17" w:rsidP="0028230E">
      <w:pPr>
        <w:rPr>
          <w:b/>
        </w:rPr>
      </w:pPr>
      <w:r w:rsidRPr="00F77A17">
        <w:rPr>
          <w:b/>
        </w:rPr>
        <w:t>References</w:t>
      </w:r>
    </w:p>
    <w:p w:rsidR="0032489B" w:rsidRPr="0032489B" w:rsidRDefault="0023249C" w:rsidP="0032489B">
      <w:pPr>
        <w:pStyle w:val="EndNoteBibliography"/>
        <w:spacing w:after="0"/>
        <w:ind w:left="720" w:hanging="720"/>
      </w:pPr>
      <w:r>
        <w:fldChar w:fldCharType="begin"/>
      </w:r>
      <w:r>
        <w:instrText xml:space="preserve"> ADDIN EN.REFLIST </w:instrText>
      </w:r>
      <w:r>
        <w:fldChar w:fldCharType="separate"/>
      </w:r>
      <w:r w:rsidR="0032489B" w:rsidRPr="0032489B">
        <w:t>1.</w:t>
      </w:r>
      <w:r w:rsidR="0032489B" w:rsidRPr="0032489B">
        <w:tab/>
        <w:t xml:space="preserve">Brown v. Board of Education of Topeka. </w:t>
      </w:r>
      <w:r w:rsidR="0032489B" w:rsidRPr="0032489B">
        <w:rPr>
          <w:i/>
        </w:rPr>
        <w:t>347 U.S. 483</w:t>
      </w:r>
      <w:r w:rsidR="0032489B" w:rsidRPr="0032489B">
        <w:t>1954.</w:t>
      </w:r>
    </w:p>
    <w:p w:rsidR="0032489B" w:rsidRPr="0032489B" w:rsidRDefault="0032489B" w:rsidP="0032489B">
      <w:pPr>
        <w:pStyle w:val="EndNoteBibliography"/>
        <w:spacing w:after="0"/>
        <w:ind w:left="720" w:hanging="720"/>
      </w:pPr>
      <w:r w:rsidRPr="0032489B">
        <w:t>2.</w:t>
      </w:r>
      <w:r w:rsidRPr="0032489B">
        <w:tab/>
        <w:t xml:space="preserve">Bensfield JA. School financing and the Fourteenth Amendment. </w:t>
      </w:r>
      <w:r w:rsidRPr="0032489B">
        <w:rPr>
          <w:i/>
        </w:rPr>
        <w:t xml:space="preserve">Inequality in Education. </w:t>
      </w:r>
      <w:r w:rsidRPr="0032489B">
        <w:t>1970;1:1-6.</w:t>
      </w:r>
    </w:p>
    <w:p w:rsidR="0032489B" w:rsidRPr="0032489B" w:rsidRDefault="0032489B" w:rsidP="0032489B">
      <w:pPr>
        <w:pStyle w:val="EndNoteBibliography"/>
        <w:spacing w:after="0"/>
        <w:ind w:left="720" w:hanging="720"/>
      </w:pPr>
      <w:r w:rsidRPr="0032489B">
        <w:t>3.</w:t>
      </w:r>
      <w:r w:rsidRPr="0032489B">
        <w:tab/>
        <w:t xml:space="preserve">Dewey J. The primary-education fetich </w:t>
      </w:r>
      <w:r w:rsidRPr="0032489B">
        <w:rPr>
          <w:i/>
        </w:rPr>
        <w:t xml:space="preserve">Forum. </w:t>
      </w:r>
      <w:r w:rsidRPr="0032489B">
        <w:t>1898;XXV:314-328.</w:t>
      </w:r>
    </w:p>
    <w:p w:rsidR="0032489B" w:rsidRPr="0032489B" w:rsidRDefault="0032489B" w:rsidP="0032489B">
      <w:pPr>
        <w:pStyle w:val="EndNoteBibliography"/>
        <w:spacing w:after="0"/>
        <w:ind w:left="720" w:hanging="720"/>
      </w:pPr>
      <w:r w:rsidRPr="0032489B">
        <w:t>4.</w:t>
      </w:r>
      <w:r w:rsidRPr="0032489B">
        <w:tab/>
        <w:t xml:space="preserve">Huxley A. </w:t>
      </w:r>
      <w:r w:rsidRPr="0032489B">
        <w:rPr>
          <w:i/>
        </w:rPr>
        <w:t>Brave New World.</w:t>
      </w:r>
      <w:r w:rsidRPr="0032489B">
        <w:t xml:space="preserve"> London, UK: Chatto &amp; Windus; 1932.</w:t>
      </w:r>
    </w:p>
    <w:p w:rsidR="0032489B" w:rsidRPr="0032489B" w:rsidRDefault="0032489B" w:rsidP="0032489B">
      <w:pPr>
        <w:pStyle w:val="EndNoteBibliography"/>
        <w:spacing w:after="0"/>
        <w:ind w:left="720" w:hanging="720"/>
      </w:pPr>
      <w:r w:rsidRPr="0032489B">
        <w:t>5.</w:t>
      </w:r>
      <w:r w:rsidRPr="0032489B">
        <w:tab/>
        <w:t xml:space="preserve">Lavender C. Lowell Mill Girls and the Rhetoric of Women's Labor Unrest. 1997; </w:t>
      </w:r>
      <w:hyperlink r:id="rId7" w:history="1">
        <w:r w:rsidRPr="0032489B">
          <w:rPr>
            <w:rStyle w:val="Hyperlink"/>
          </w:rPr>
          <w:t>http://csivc.csi.cuny.edu/history/files/lavender/lowstr.html</w:t>
        </w:r>
      </w:hyperlink>
      <w:r w:rsidRPr="0032489B">
        <w:t>.</w:t>
      </w:r>
    </w:p>
    <w:p w:rsidR="0032489B" w:rsidRPr="0032489B" w:rsidRDefault="0032489B" w:rsidP="0032489B">
      <w:pPr>
        <w:pStyle w:val="EndNoteBibliography"/>
        <w:spacing w:after="0"/>
        <w:ind w:left="720" w:hanging="720"/>
      </w:pPr>
      <w:r w:rsidRPr="0032489B">
        <w:t>6.</w:t>
      </w:r>
      <w:r w:rsidRPr="0032489B">
        <w:tab/>
        <w:t xml:space="preserve">Mann H. </w:t>
      </w:r>
      <w:r w:rsidRPr="0032489B">
        <w:rPr>
          <w:i/>
        </w:rPr>
        <w:t>Lectures and Annual Reports on Education.</w:t>
      </w:r>
      <w:r w:rsidRPr="0032489B">
        <w:t xml:space="preserve"> Cambridge, MA: Horace Mann; 1867.</w:t>
      </w:r>
    </w:p>
    <w:p w:rsidR="0032489B" w:rsidRPr="0032489B" w:rsidRDefault="0032489B" w:rsidP="0032489B">
      <w:pPr>
        <w:pStyle w:val="EndNoteBibliography"/>
        <w:spacing w:after="0"/>
        <w:ind w:left="720" w:hanging="720"/>
      </w:pPr>
      <w:r w:rsidRPr="0032489B">
        <w:t>7.</w:t>
      </w:r>
      <w:r w:rsidRPr="0032489B">
        <w:tab/>
      </w:r>
      <w:r w:rsidRPr="0032489B">
        <w:rPr>
          <w:i/>
        </w:rPr>
        <w:t>Penitential tears; or, A cry from the dust, by "the thirty-one," prostrated and pulverized by the hand of Horace Mann, secretary, &amp;c.</w:t>
      </w:r>
      <w:r w:rsidRPr="0032489B">
        <w:t xml:space="preserve"> Boston, MA: C. Stimson; 1845.</w:t>
      </w:r>
    </w:p>
    <w:p w:rsidR="0032489B" w:rsidRPr="0032489B" w:rsidRDefault="0032489B" w:rsidP="0032489B">
      <w:pPr>
        <w:pStyle w:val="EndNoteBibliography"/>
        <w:spacing w:after="0"/>
        <w:ind w:left="720" w:hanging="720"/>
      </w:pPr>
      <w:r w:rsidRPr="0032489B">
        <w:t>8.</w:t>
      </w:r>
      <w:r w:rsidRPr="0032489B">
        <w:tab/>
        <w:t xml:space="preserve">Orton ST. The “sight reading” method of teaching reading, as a source of reading disability. </w:t>
      </w:r>
      <w:r w:rsidRPr="0032489B">
        <w:rPr>
          <w:i/>
        </w:rPr>
        <w:t xml:space="preserve">Journal of Educational Psychology. </w:t>
      </w:r>
      <w:r w:rsidRPr="0032489B">
        <w:t>1929(20):135-143.</w:t>
      </w:r>
    </w:p>
    <w:p w:rsidR="0032489B" w:rsidRPr="0032489B" w:rsidRDefault="0032489B" w:rsidP="0032489B">
      <w:pPr>
        <w:pStyle w:val="EndNoteBibliography"/>
        <w:spacing w:after="0"/>
        <w:ind w:left="720" w:hanging="720"/>
      </w:pPr>
      <w:r w:rsidRPr="0032489B">
        <w:t>9.</w:t>
      </w:r>
      <w:r w:rsidRPr="0032489B">
        <w:tab/>
        <w:t xml:space="preserve">Flesch R. </w:t>
      </w:r>
      <w:r w:rsidRPr="0032489B">
        <w:rPr>
          <w:i/>
        </w:rPr>
        <w:t>Why Johnny Can't Read, and What You Can Do About It.</w:t>
      </w:r>
      <w:r w:rsidRPr="0032489B">
        <w:t xml:space="preserve"> New York, NY: Harper; 1955.</w:t>
      </w:r>
    </w:p>
    <w:p w:rsidR="0032489B" w:rsidRPr="0032489B" w:rsidRDefault="0032489B" w:rsidP="0032489B">
      <w:pPr>
        <w:pStyle w:val="EndNoteBibliography"/>
        <w:spacing w:after="0"/>
        <w:ind w:left="720" w:hanging="720"/>
      </w:pPr>
      <w:r w:rsidRPr="0032489B">
        <w:t>10.</w:t>
      </w:r>
      <w:r w:rsidRPr="0032489B">
        <w:tab/>
        <w:t xml:space="preserve">Education: The First R. </w:t>
      </w:r>
      <w:r w:rsidRPr="0032489B">
        <w:rPr>
          <w:i/>
        </w:rPr>
        <w:t>Time Magazine</w:t>
      </w:r>
      <w:r w:rsidRPr="0032489B">
        <w:t>1956.</w:t>
      </w:r>
    </w:p>
    <w:p w:rsidR="0032489B" w:rsidRPr="0032489B" w:rsidRDefault="0032489B" w:rsidP="0032489B">
      <w:pPr>
        <w:pStyle w:val="EndNoteBibliography"/>
        <w:spacing w:after="0"/>
        <w:ind w:left="720" w:hanging="720"/>
      </w:pPr>
      <w:r w:rsidRPr="0032489B">
        <w:t>11.</w:t>
      </w:r>
      <w:r w:rsidRPr="0032489B">
        <w:tab/>
        <w:t>Bach E, Calabrese A, Caplan D, et al. Standards for Reading Instruction in Massachusetts [letter]. In: Antonucci RV, ed1995.</w:t>
      </w:r>
    </w:p>
    <w:p w:rsidR="0032489B" w:rsidRPr="0032489B" w:rsidRDefault="0032489B" w:rsidP="0032489B">
      <w:pPr>
        <w:pStyle w:val="EndNoteBibliography"/>
        <w:spacing w:after="0"/>
        <w:ind w:left="720" w:hanging="720"/>
      </w:pPr>
      <w:r w:rsidRPr="0032489B">
        <w:t>12.</w:t>
      </w:r>
      <w:r w:rsidRPr="0032489B">
        <w:tab/>
        <w:t xml:space="preserve">Study Group of the International Institute for Advocacy for School Children. </w:t>
      </w:r>
      <w:r w:rsidRPr="0032489B">
        <w:rPr>
          <w:i/>
        </w:rPr>
        <w:t xml:space="preserve">Academic child abuse. </w:t>
      </w:r>
      <w:r w:rsidRPr="0032489B">
        <w:t>Eugene, OR: International Institute for Advocacy for School Children;undated.</w:t>
      </w:r>
    </w:p>
    <w:p w:rsidR="0032489B" w:rsidRPr="0032489B" w:rsidRDefault="0032489B" w:rsidP="0032489B">
      <w:pPr>
        <w:pStyle w:val="EndNoteBibliography"/>
        <w:spacing w:after="0"/>
        <w:ind w:left="720" w:hanging="720"/>
      </w:pPr>
      <w:r w:rsidRPr="0032489B">
        <w:t>13.</w:t>
      </w:r>
      <w:r w:rsidRPr="0032489B">
        <w:tab/>
        <w:t xml:space="preserve">Braddock R, Lloyd-Jones R, Schoer L. </w:t>
      </w:r>
      <w:r w:rsidRPr="0032489B">
        <w:rPr>
          <w:i/>
        </w:rPr>
        <w:t xml:space="preserve">Research in written composition. </w:t>
      </w:r>
      <w:r w:rsidRPr="0032489B">
        <w:t>Champaign, IL: National Council of Teachers of English;1963.</w:t>
      </w:r>
    </w:p>
    <w:p w:rsidR="0032489B" w:rsidRPr="0032489B" w:rsidRDefault="0032489B" w:rsidP="0032489B">
      <w:pPr>
        <w:pStyle w:val="EndNoteBibliography"/>
        <w:spacing w:after="0"/>
        <w:ind w:left="720" w:hanging="720"/>
      </w:pPr>
      <w:r w:rsidRPr="0032489B">
        <w:t>14.</w:t>
      </w:r>
      <w:r w:rsidRPr="0032489B">
        <w:tab/>
        <w:t xml:space="preserve">Hayes DP, Wolfer LT, Wolfe MF. Schoolbook simplification and its relation to the decline in SAT-Verbal scores. </w:t>
      </w:r>
      <w:r w:rsidRPr="0032489B">
        <w:rPr>
          <w:i/>
        </w:rPr>
        <w:t xml:space="preserve">American Educational Research Journal. </w:t>
      </w:r>
      <w:r w:rsidRPr="0032489B">
        <w:t>1996;33(2):489-508.</w:t>
      </w:r>
    </w:p>
    <w:p w:rsidR="0032489B" w:rsidRPr="0032489B" w:rsidRDefault="0032489B" w:rsidP="0032489B">
      <w:pPr>
        <w:pStyle w:val="EndNoteBibliography"/>
        <w:spacing w:after="0"/>
        <w:ind w:left="720" w:hanging="720"/>
      </w:pPr>
      <w:r w:rsidRPr="0032489B">
        <w:t>15.</w:t>
      </w:r>
      <w:r w:rsidRPr="0032489B">
        <w:tab/>
        <w:t xml:space="preserve">Thomas LE. </w:t>
      </w:r>
      <w:r w:rsidRPr="0032489B">
        <w:rPr>
          <w:i/>
        </w:rPr>
        <w:t>Not Trivial: How Studying the Traditional Liberal Arts Can Set You Free.</w:t>
      </w:r>
      <w:r w:rsidRPr="0032489B">
        <w:t xml:space="preserve"> DeKalb, IL: Freedom of Speech Publishing; 2013.</w:t>
      </w:r>
    </w:p>
    <w:p w:rsidR="0032489B" w:rsidRPr="0032489B" w:rsidRDefault="0032489B" w:rsidP="0032489B">
      <w:pPr>
        <w:pStyle w:val="EndNoteBibliography"/>
        <w:spacing w:after="0"/>
        <w:ind w:left="720" w:hanging="720"/>
      </w:pPr>
      <w:r w:rsidRPr="0032489B">
        <w:t>16.</w:t>
      </w:r>
      <w:r w:rsidRPr="0032489B">
        <w:tab/>
        <w:t xml:space="preserve">Mulroy D. </w:t>
      </w:r>
      <w:r w:rsidRPr="0032489B">
        <w:rPr>
          <w:i/>
        </w:rPr>
        <w:t>The War Against Grammar.</w:t>
      </w:r>
      <w:r w:rsidRPr="0032489B">
        <w:t xml:space="preserve"> Portsmouth, NH: Boynton/Cook Publishers; 2003.</w:t>
      </w:r>
    </w:p>
    <w:p w:rsidR="0032489B" w:rsidRPr="0032489B" w:rsidRDefault="0032489B" w:rsidP="0032489B">
      <w:pPr>
        <w:pStyle w:val="EndNoteBibliography"/>
        <w:spacing w:after="0"/>
        <w:ind w:left="720" w:hanging="720"/>
      </w:pPr>
      <w:r w:rsidRPr="0032489B">
        <w:t>17.</w:t>
      </w:r>
      <w:r w:rsidRPr="0032489B">
        <w:tab/>
        <w:t xml:space="preserve">Thomas LE. </w:t>
      </w:r>
      <w:r w:rsidRPr="0032489B">
        <w:rPr>
          <w:i/>
        </w:rPr>
        <w:t>Don't Feed the Narcissists! The Mythology and Science of Mental Health.</w:t>
      </w:r>
      <w:r w:rsidRPr="0032489B">
        <w:t xml:space="preserve"> Chatham, NJ: Kermit Press; 2016.</w:t>
      </w:r>
    </w:p>
    <w:p w:rsidR="0032489B" w:rsidRPr="0032489B" w:rsidRDefault="0032489B" w:rsidP="0032489B">
      <w:pPr>
        <w:pStyle w:val="EndNoteBibliography"/>
        <w:spacing w:after="0"/>
        <w:ind w:left="720" w:hanging="720"/>
      </w:pPr>
      <w:r w:rsidRPr="0032489B">
        <w:t>18.</w:t>
      </w:r>
      <w:r w:rsidRPr="0032489B">
        <w:tab/>
        <w:t xml:space="preserve">Sokal A. </w:t>
      </w:r>
      <w:r w:rsidRPr="0032489B">
        <w:rPr>
          <w:i/>
        </w:rPr>
        <w:t>Beyond the Hoax: Science, Philosophy and Culture.</w:t>
      </w:r>
      <w:r w:rsidRPr="0032489B">
        <w:t xml:space="preserve"> New York, NY: Oxford University Press; 2008.</w:t>
      </w:r>
    </w:p>
    <w:p w:rsidR="0032489B" w:rsidRPr="0032489B" w:rsidRDefault="0032489B" w:rsidP="0032489B">
      <w:pPr>
        <w:pStyle w:val="EndNoteBibliography"/>
        <w:ind w:left="720" w:hanging="720"/>
      </w:pPr>
      <w:r w:rsidRPr="0032489B">
        <w:t>19.</w:t>
      </w:r>
      <w:r w:rsidRPr="0032489B">
        <w:tab/>
        <w:t xml:space="preserve">Yang C. Ontogeny and phylogeny of language. </w:t>
      </w:r>
      <w:r w:rsidRPr="0032489B">
        <w:rPr>
          <w:i/>
        </w:rPr>
        <w:t xml:space="preserve">Proceedings of the National Academy of Sciences. </w:t>
      </w:r>
      <w:r w:rsidRPr="0032489B">
        <w:t>2013;110(16):6324-6327.</w:t>
      </w:r>
    </w:p>
    <w:p w:rsidR="00462ECE" w:rsidRDefault="0023249C" w:rsidP="0028230E">
      <w:r>
        <w:fldChar w:fldCharType="end"/>
      </w:r>
    </w:p>
    <w:sectPr w:rsidR="00462ECE">
      <w:headerReference w:type="default" r:id="rId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A8" w:rsidRDefault="004E3BA8" w:rsidP="000B6253">
      <w:pPr>
        <w:spacing w:after="0" w:line="240" w:lineRule="auto"/>
      </w:pPr>
      <w:r>
        <w:separator/>
      </w:r>
    </w:p>
  </w:endnote>
  <w:endnote w:type="continuationSeparator" w:id="0">
    <w:p w:rsidR="004E3BA8" w:rsidRDefault="004E3BA8" w:rsidP="000B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388017"/>
      <w:docPartObj>
        <w:docPartGallery w:val="Page Numbers (Bottom of Page)"/>
        <w:docPartUnique/>
      </w:docPartObj>
    </w:sdtPr>
    <w:sdtEndPr>
      <w:rPr>
        <w:noProof/>
      </w:rPr>
    </w:sdtEndPr>
    <w:sdtContent>
      <w:p w:rsidR="00D904B0" w:rsidRDefault="00D904B0">
        <w:pPr>
          <w:pStyle w:val="Footer"/>
        </w:pPr>
        <w:r>
          <w:fldChar w:fldCharType="begin"/>
        </w:r>
        <w:r>
          <w:instrText xml:space="preserve"> PAGE   \* MERGEFORMAT </w:instrText>
        </w:r>
        <w:r>
          <w:fldChar w:fldCharType="separate"/>
        </w:r>
        <w:r w:rsidR="00A65076">
          <w:rPr>
            <w:noProof/>
          </w:rPr>
          <w:t>7</w:t>
        </w:r>
        <w:r>
          <w:rPr>
            <w:noProof/>
          </w:rPr>
          <w:fldChar w:fldCharType="end"/>
        </w:r>
      </w:p>
    </w:sdtContent>
  </w:sdt>
  <w:p w:rsidR="00D904B0" w:rsidRDefault="00D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A8" w:rsidRDefault="004E3BA8" w:rsidP="000B6253">
      <w:pPr>
        <w:spacing w:after="0" w:line="240" w:lineRule="auto"/>
      </w:pPr>
      <w:r>
        <w:separator/>
      </w:r>
    </w:p>
  </w:footnote>
  <w:footnote w:type="continuationSeparator" w:id="0">
    <w:p w:rsidR="004E3BA8" w:rsidRDefault="004E3BA8" w:rsidP="000B6253">
      <w:pPr>
        <w:spacing w:after="0" w:line="240" w:lineRule="auto"/>
      </w:pPr>
      <w:r>
        <w:continuationSeparator/>
      </w:r>
    </w:p>
  </w:footnote>
  <w:footnote w:id="1">
    <w:p w:rsidR="00D904B0" w:rsidRDefault="00D904B0">
      <w:pPr>
        <w:pStyle w:val="FootnoteText"/>
      </w:pPr>
      <w:r>
        <w:rPr>
          <w:rStyle w:val="FootnoteReference"/>
        </w:rPr>
        <w:footnoteRef/>
      </w:r>
      <w:r>
        <w:t xml:space="preserve"> Many conservatives insist that Dewey was an agent of the Worldwide Communist Conspiracy. However, Dewey’s famous trip to the Soviet Union took place during break in diplomatic relations between Britain and the Soviet Union, and at a time when Rockefeller interests (especially Standard Oil) were dramatically expanding their business dealings with the Soviet Union (See </w:t>
      </w:r>
      <w:r>
        <w:rPr>
          <w:noProof/>
        </w:rPr>
        <w:t xml:space="preserve">Sutton AC. </w:t>
      </w:r>
      <w:r>
        <w:rPr>
          <w:i/>
          <w:noProof/>
        </w:rPr>
        <w:t>Western Technology</w:t>
      </w:r>
      <w:r w:rsidRPr="0032489B">
        <w:rPr>
          <w:i/>
          <w:noProof/>
        </w:rPr>
        <w:t xml:space="preserve"> and Soviet Economic Development, 1917 to 1930.</w:t>
      </w:r>
      <w:r>
        <w:rPr>
          <w:noProof/>
        </w:rPr>
        <w:t xml:space="preserve"> Stanford, CA: Hoover Institution; 1968).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B0" w:rsidRDefault="00D904B0">
    <w:pPr>
      <w:pStyle w:val="Header"/>
    </w:pPr>
    <w:r>
      <w:t>Laurie Endicott Thomas</w:t>
    </w:r>
  </w:p>
  <w:p w:rsidR="00D904B0" w:rsidRDefault="004E3BA8">
    <w:pPr>
      <w:pStyle w:val="Header"/>
    </w:pPr>
    <w:hyperlink r:id="rId1" w:history="1">
      <w:r w:rsidR="00D904B0" w:rsidRPr="00DF6821">
        <w:rPr>
          <w:rStyle w:val="Hyperlink"/>
        </w:rPr>
        <w:t>Lthomas521@verizon.net</w:t>
      </w:r>
    </w:hyperlink>
    <w:r w:rsidR="00D904B0">
      <w:t xml:space="preserve"> </w:t>
    </w:r>
  </w:p>
  <w:p w:rsidR="00D904B0" w:rsidRDefault="00D904B0">
    <w:pPr>
      <w:pStyle w:val="Header"/>
    </w:pPr>
    <w:r>
      <w:t>862-222-0927</w:t>
    </w:r>
  </w:p>
  <w:p w:rsidR="00D904B0" w:rsidRDefault="00D90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es2s0pu2tef1es29rxevzyxrrw20xrsf9f&quot;&gt;Russel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record-ids&gt;&lt;/item&gt;&lt;/Libraries&gt;"/>
  </w:docVars>
  <w:rsids>
    <w:rsidRoot w:val="0060700D"/>
    <w:rsid w:val="0001414B"/>
    <w:rsid w:val="000460AA"/>
    <w:rsid w:val="00057A3C"/>
    <w:rsid w:val="00066B91"/>
    <w:rsid w:val="00067F90"/>
    <w:rsid w:val="000A30ED"/>
    <w:rsid w:val="000B6253"/>
    <w:rsid w:val="000D6B8C"/>
    <w:rsid w:val="000E52B3"/>
    <w:rsid w:val="000E6855"/>
    <w:rsid w:val="001143D5"/>
    <w:rsid w:val="00114CB9"/>
    <w:rsid w:val="00125A45"/>
    <w:rsid w:val="00152531"/>
    <w:rsid w:val="00155AB6"/>
    <w:rsid w:val="001613C0"/>
    <w:rsid w:val="0016449F"/>
    <w:rsid w:val="00166DFB"/>
    <w:rsid w:val="001713DB"/>
    <w:rsid w:val="00172FCA"/>
    <w:rsid w:val="001B06D3"/>
    <w:rsid w:val="00200681"/>
    <w:rsid w:val="00204AD9"/>
    <w:rsid w:val="00211B62"/>
    <w:rsid w:val="0022186B"/>
    <w:rsid w:val="00224DFA"/>
    <w:rsid w:val="0023249C"/>
    <w:rsid w:val="002562D9"/>
    <w:rsid w:val="00256F23"/>
    <w:rsid w:val="00262BED"/>
    <w:rsid w:val="0027413D"/>
    <w:rsid w:val="0028230E"/>
    <w:rsid w:val="00293025"/>
    <w:rsid w:val="002B45A4"/>
    <w:rsid w:val="002C3BAD"/>
    <w:rsid w:val="002F7561"/>
    <w:rsid w:val="00302F95"/>
    <w:rsid w:val="0032489B"/>
    <w:rsid w:val="00330E5D"/>
    <w:rsid w:val="003318E2"/>
    <w:rsid w:val="00334F05"/>
    <w:rsid w:val="0035378A"/>
    <w:rsid w:val="00353B71"/>
    <w:rsid w:val="00377D2A"/>
    <w:rsid w:val="003934AC"/>
    <w:rsid w:val="00395C61"/>
    <w:rsid w:val="00397D00"/>
    <w:rsid w:val="003E11CC"/>
    <w:rsid w:val="0040148F"/>
    <w:rsid w:val="00453163"/>
    <w:rsid w:val="0045339C"/>
    <w:rsid w:val="00460718"/>
    <w:rsid w:val="00462ECE"/>
    <w:rsid w:val="00464FF9"/>
    <w:rsid w:val="00493448"/>
    <w:rsid w:val="004A24B4"/>
    <w:rsid w:val="004E0410"/>
    <w:rsid w:val="004E3BA8"/>
    <w:rsid w:val="004E5E71"/>
    <w:rsid w:val="004E7478"/>
    <w:rsid w:val="00517D6B"/>
    <w:rsid w:val="00545376"/>
    <w:rsid w:val="005770E9"/>
    <w:rsid w:val="00580525"/>
    <w:rsid w:val="00594617"/>
    <w:rsid w:val="005A2442"/>
    <w:rsid w:val="005C0407"/>
    <w:rsid w:val="005E6702"/>
    <w:rsid w:val="005F1521"/>
    <w:rsid w:val="0060700D"/>
    <w:rsid w:val="0062538D"/>
    <w:rsid w:val="00643FAE"/>
    <w:rsid w:val="006525D2"/>
    <w:rsid w:val="00680AC3"/>
    <w:rsid w:val="00684948"/>
    <w:rsid w:val="006903D1"/>
    <w:rsid w:val="00693038"/>
    <w:rsid w:val="00697F4D"/>
    <w:rsid w:val="006B1259"/>
    <w:rsid w:val="006B3860"/>
    <w:rsid w:val="006C5B91"/>
    <w:rsid w:val="006E5C01"/>
    <w:rsid w:val="006E79D1"/>
    <w:rsid w:val="0070424F"/>
    <w:rsid w:val="00722731"/>
    <w:rsid w:val="0073168E"/>
    <w:rsid w:val="00775CA3"/>
    <w:rsid w:val="00784C2C"/>
    <w:rsid w:val="0079799E"/>
    <w:rsid w:val="007B1C47"/>
    <w:rsid w:val="007B5D6B"/>
    <w:rsid w:val="007E38C1"/>
    <w:rsid w:val="007E59CE"/>
    <w:rsid w:val="00841E24"/>
    <w:rsid w:val="00850EF2"/>
    <w:rsid w:val="008672EF"/>
    <w:rsid w:val="008F4E86"/>
    <w:rsid w:val="008F782C"/>
    <w:rsid w:val="009053E1"/>
    <w:rsid w:val="00905F99"/>
    <w:rsid w:val="00945449"/>
    <w:rsid w:val="0095325B"/>
    <w:rsid w:val="009575E7"/>
    <w:rsid w:val="009B27C9"/>
    <w:rsid w:val="009C6561"/>
    <w:rsid w:val="009F3CD8"/>
    <w:rsid w:val="00A04C27"/>
    <w:rsid w:val="00A2383D"/>
    <w:rsid w:val="00A32BF3"/>
    <w:rsid w:val="00A54511"/>
    <w:rsid w:val="00A6245F"/>
    <w:rsid w:val="00A65076"/>
    <w:rsid w:val="00A77C42"/>
    <w:rsid w:val="00A82EB8"/>
    <w:rsid w:val="00A84C23"/>
    <w:rsid w:val="00AA371D"/>
    <w:rsid w:val="00AB4087"/>
    <w:rsid w:val="00AC20CF"/>
    <w:rsid w:val="00AD68AF"/>
    <w:rsid w:val="00AE22B3"/>
    <w:rsid w:val="00AE6214"/>
    <w:rsid w:val="00AE7D07"/>
    <w:rsid w:val="00B02B2D"/>
    <w:rsid w:val="00B07FE1"/>
    <w:rsid w:val="00B13A61"/>
    <w:rsid w:val="00B33D1A"/>
    <w:rsid w:val="00B56C24"/>
    <w:rsid w:val="00BA665A"/>
    <w:rsid w:val="00BB0F5B"/>
    <w:rsid w:val="00BC1C37"/>
    <w:rsid w:val="00BD7824"/>
    <w:rsid w:val="00BE3771"/>
    <w:rsid w:val="00BE5FA6"/>
    <w:rsid w:val="00C20053"/>
    <w:rsid w:val="00C23C41"/>
    <w:rsid w:val="00C24D37"/>
    <w:rsid w:val="00C333C6"/>
    <w:rsid w:val="00C66DD4"/>
    <w:rsid w:val="00C8006F"/>
    <w:rsid w:val="00C90E32"/>
    <w:rsid w:val="00CA11BE"/>
    <w:rsid w:val="00CC2F32"/>
    <w:rsid w:val="00CF3E7A"/>
    <w:rsid w:val="00D0005A"/>
    <w:rsid w:val="00D20E86"/>
    <w:rsid w:val="00D41A64"/>
    <w:rsid w:val="00D51A43"/>
    <w:rsid w:val="00D57CEC"/>
    <w:rsid w:val="00D904B0"/>
    <w:rsid w:val="00D90AF8"/>
    <w:rsid w:val="00D96840"/>
    <w:rsid w:val="00DA3DE0"/>
    <w:rsid w:val="00DB03D2"/>
    <w:rsid w:val="00DE4A53"/>
    <w:rsid w:val="00DF3D47"/>
    <w:rsid w:val="00E05566"/>
    <w:rsid w:val="00E17A7B"/>
    <w:rsid w:val="00E646F6"/>
    <w:rsid w:val="00E82323"/>
    <w:rsid w:val="00E83BC5"/>
    <w:rsid w:val="00E9543C"/>
    <w:rsid w:val="00EA1FEE"/>
    <w:rsid w:val="00ED0EFD"/>
    <w:rsid w:val="00ED78FF"/>
    <w:rsid w:val="00F130CF"/>
    <w:rsid w:val="00F65439"/>
    <w:rsid w:val="00F66B7E"/>
    <w:rsid w:val="00F67A34"/>
    <w:rsid w:val="00F71904"/>
    <w:rsid w:val="00F77A17"/>
    <w:rsid w:val="00F97BD0"/>
    <w:rsid w:val="00FA5962"/>
    <w:rsid w:val="00FA5DDA"/>
    <w:rsid w:val="00FC3308"/>
    <w:rsid w:val="00FE331D"/>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53FE3-8B7E-4E67-934A-55602750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F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3249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3249C"/>
    <w:rPr>
      <w:rFonts w:ascii="Calibri" w:hAnsi="Calibri" w:cs="Calibri"/>
      <w:noProof/>
    </w:rPr>
  </w:style>
  <w:style w:type="paragraph" w:customStyle="1" w:styleId="EndNoteBibliography">
    <w:name w:val="EndNote Bibliography"/>
    <w:basedOn w:val="Normal"/>
    <w:link w:val="EndNoteBibliographyChar"/>
    <w:rsid w:val="0023249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3249C"/>
    <w:rPr>
      <w:rFonts w:ascii="Calibri" w:hAnsi="Calibri" w:cs="Calibri"/>
      <w:noProof/>
    </w:rPr>
  </w:style>
  <w:style w:type="character" w:styleId="Hyperlink">
    <w:name w:val="Hyperlink"/>
    <w:basedOn w:val="DefaultParagraphFont"/>
    <w:uiPriority w:val="99"/>
    <w:unhideWhenUsed/>
    <w:rsid w:val="00B33D1A"/>
    <w:rPr>
      <w:color w:val="0563C1" w:themeColor="hyperlink"/>
      <w:u w:val="single"/>
    </w:rPr>
  </w:style>
  <w:style w:type="character" w:styleId="Mention">
    <w:name w:val="Mention"/>
    <w:basedOn w:val="DefaultParagraphFont"/>
    <w:uiPriority w:val="99"/>
    <w:semiHidden/>
    <w:unhideWhenUsed/>
    <w:rsid w:val="00B33D1A"/>
    <w:rPr>
      <w:color w:val="2B579A"/>
      <w:shd w:val="clear" w:color="auto" w:fill="E6E6E6"/>
    </w:rPr>
  </w:style>
  <w:style w:type="paragraph" w:styleId="Title">
    <w:name w:val="Title"/>
    <w:basedOn w:val="Normal"/>
    <w:next w:val="Normal"/>
    <w:link w:val="TitleChar"/>
    <w:uiPriority w:val="10"/>
    <w:qFormat/>
    <w:rsid w:val="000460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0AA"/>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B6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253"/>
    <w:rPr>
      <w:sz w:val="20"/>
      <w:szCs w:val="20"/>
    </w:rPr>
  </w:style>
  <w:style w:type="character" w:styleId="FootnoteReference">
    <w:name w:val="footnote reference"/>
    <w:basedOn w:val="DefaultParagraphFont"/>
    <w:uiPriority w:val="99"/>
    <w:semiHidden/>
    <w:unhideWhenUsed/>
    <w:rsid w:val="000B6253"/>
    <w:rPr>
      <w:vertAlign w:val="superscript"/>
    </w:rPr>
  </w:style>
  <w:style w:type="paragraph" w:styleId="Header">
    <w:name w:val="header"/>
    <w:basedOn w:val="Normal"/>
    <w:link w:val="HeaderChar"/>
    <w:uiPriority w:val="99"/>
    <w:unhideWhenUsed/>
    <w:rsid w:val="0039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4AC"/>
  </w:style>
  <w:style w:type="paragraph" w:styleId="Footer">
    <w:name w:val="footer"/>
    <w:basedOn w:val="Normal"/>
    <w:link w:val="FooterChar"/>
    <w:uiPriority w:val="99"/>
    <w:unhideWhenUsed/>
    <w:rsid w:val="0039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4AC"/>
  </w:style>
  <w:style w:type="character" w:customStyle="1" w:styleId="Heading1Char">
    <w:name w:val="Heading 1 Char"/>
    <w:basedOn w:val="DefaultParagraphFont"/>
    <w:link w:val="Heading1"/>
    <w:uiPriority w:val="9"/>
    <w:rsid w:val="00302F9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90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sivc.csi.cuny.edu/history/files/lavender/lowst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Lthomas521@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5909-EC2A-440F-97B4-6653F6B5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7</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Thomas</dc:creator>
  <cp:keywords/>
  <dc:description/>
  <cp:lastModifiedBy>Laurie Thomas</cp:lastModifiedBy>
  <cp:revision>9</cp:revision>
  <cp:lastPrinted>2017-04-02T14:02:00Z</cp:lastPrinted>
  <dcterms:created xsi:type="dcterms:W3CDTF">2017-03-14T03:03:00Z</dcterms:created>
  <dcterms:modified xsi:type="dcterms:W3CDTF">2017-04-04T16:10:00Z</dcterms:modified>
</cp:coreProperties>
</file>